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2"/>
          <w:szCs w:val="32"/>
        </w:rPr>
      </w:pPr>
      <w:r>
        <w:rPr>
          <w:rFonts w:hint="eastAsia" w:ascii="宋体" w:hAnsi="宋体" w:cs="仿宋_GB2312"/>
          <w:b/>
          <w:sz w:val="32"/>
          <w:szCs w:val="32"/>
        </w:rPr>
        <w:t>湖州学院</w:t>
      </w:r>
      <w:r>
        <w:rPr>
          <w:rFonts w:hint="eastAsia" w:ascii="宋体" w:hAnsi="宋体" w:cs="仿宋_GB2312"/>
          <w:b/>
          <w:sz w:val="32"/>
          <w:szCs w:val="32"/>
          <w:lang w:val="en-US" w:eastAsia="zh-CN"/>
        </w:rPr>
        <w:t>学生处2023级新生健康体检服务</w:t>
      </w:r>
      <w:r>
        <w:rPr>
          <w:rFonts w:hint="eastAsia" w:ascii="宋体" w:hAnsi="宋体" w:cs="仿宋_GB2312"/>
          <w:b/>
          <w:sz w:val="32"/>
          <w:szCs w:val="32"/>
        </w:rPr>
        <w:t>项目</w:t>
      </w:r>
      <w:r>
        <w:rPr>
          <w:rFonts w:hint="eastAsia" w:ascii="宋体" w:hAnsi="宋体" w:cs="宋体"/>
          <w:b/>
          <w:sz w:val="32"/>
          <w:szCs w:val="32"/>
        </w:rPr>
        <w:t>采购文件</w:t>
      </w:r>
    </w:p>
    <w:p>
      <w:pPr>
        <w:rPr>
          <w:rFonts w:ascii="仿宋_GB2312" w:eastAsia="仿宋_GB2312"/>
          <w:b/>
          <w:sz w:val="24"/>
        </w:rPr>
      </w:pPr>
      <w:r>
        <w:rPr>
          <w:rFonts w:hint="eastAsia" w:ascii="仿宋_GB2312" w:eastAsia="仿宋_GB2312"/>
          <w:b/>
          <w:sz w:val="24"/>
        </w:rPr>
        <w:t>一、项目名称、设备清单及要求：</w:t>
      </w:r>
    </w:p>
    <w:p>
      <w:pPr>
        <w:jc w:val="left"/>
        <w:rPr>
          <w:rFonts w:ascii="仿宋" w:hAnsi="仿宋" w:eastAsia="仿宋" w:cs="仿宋"/>
          <w:color w:val="000000"/>
          <w:kern w:val="0"/>
          <w:sz w:val="24"/>
          <w:shd w:val="clear" w:color="auto" w:fill="FFFFFF"/>
          <w:lang w:bidi="ar"/>
        </w:rPr>
      </w:pPr>
      <w:r>
        <w:rPr>
          <w:rFonts w:hint="eastAsia" w:ascii="仿宋_GB2312" w:eastAsia="仿宋_GB2312"/>
          <w:b/>
          <w:bCs/>
          <w:sz w:val="24"/>
        </w:rPr>
        <w:t>1.项目名称：</w:t>
      </w:r>
      <w:r>
        <w:rPr>
          <w:rFonts w:hint="eastAsia" w:ascii="仿宋" w:hAnsi="仿宋" w:eastAsia="仿宋" w:cs="仿宋"/>
          <w:color w:val="000000"/>
          <w:kern w:val="0"/>
          <w:sz w:val="24"/>
          <w:shd w:val="clear" w:color="auto" w:fill="FFFFFF"/>
          <w:lang w:bidi="ar"/>
        </w:rPr>
        <w:t>湖州学院</w:t>
      </w:r>
      <w:r>
        <w:rPr>
          <w:rFonts w:hint="eastAsia" w:ascii="仿宋" w:hAnsi="仿宋" w:eastAsia="仿宋" w:cs="仿宋"/>
          <w:color w:val="000000"/>
          <w:kern w:val="0"/>
          <w:sz w:val="24"/>
          <w:shd w:val="clear" w:color="auto" w:fill="FFFFFF"/>
          <w:lang w:val="en-US" w:eastAsia="zh-CN" w:bidi="ar"/>
        </w:rPr>
        <w:t>学生处2023级新生健康体检服务项目</w:t>
      </w:r>
    </w:p>
    <w:p>
      <w:pPr>
        <w:jc w:val="left"/>
        <w:rPr>
          <w:rFonts w:hint="default" w:ascii="仿宋_GB2312" w:eastAsia="仿宋_GB2312"/>
          <w:b/>
          <w:bCs/>
          <w:sz w:val="24"/>
          <w:lang w:val="en-US" w:eastAsia="zh-CN"/>
        </w:rPr>
      </w:pPr>
      <w:r>
        <w:rPr>
          <w:rFonts w:hint="eastAsia" w:ascii="仿宋_GB2312" w:eastAsia="仿宋_GB2312"/>
          <w:b/>
          <w:bCs/>
          <w:sz w:val="24"/>
        </w:rPr>
        <w:t>2.采购编号：</w:t>
      </w:r>
      <w:r>
        <w:rPr>
          <w:rFonts w:hint="eastAsia" w:ascii="仿宋_GB2312" w:eastAsia="仿宋_GB2312"/>
          <w:b/>
          <w:bCs/>
          <w:sz w:val="24"/>
          <w:lang w:val="en-US" w:eastAsia="zh-CN"/>
        </w:rPr>
        <w:t>XZ2023027A</w:t>
      </w:r>
    </w:p>
    <w:p>
      <w:pPr>
        <w:jc w:val="left"/>
        <w:rPr>
          <w:rFonts w:ascii="仿宋_GB2312" w:eastAsia="仿宋_GB2312"/>
          <w:sz w:val="24"/>
        </w:rPr>
      </w:pPr>
      <w:r>
        <w:rPr>
          <w:rFonts w:hint="eastAsia" w:ascii="仿宋_GB2312" w:eastAsia="仿宋_GB2312"/>
          <w:b/>
          <w:bCs/>
          <w:sz w:val="24"/>
        </w:rPr>
        <w:t>3</w:t>
      </w:r>
      <w:r>
        <w:rPr>
          <w:rFonts w:ascii="仿宋_GB2312" w:eastAsia="仿宋_GB2312"/>
          <w:b/>
          <w:bCs/>
          <w:sz w:val="24"/>
        </w:rPr>
        <w:t>.采购方式</w:t>
      </w:r>
      <w:r>
        <w:rPr>
          <w:rFonts w:ascii="仿宋_GB2312" w:eastAsia="仿宋_GB2312"/>
          <w:sz w:val="24"/>
        </w:rPr>
        <w:t>：</w:t>
      </w:r>
      <w:r>
        <w:rPr>
          <w:rFonts w:hint="eastAsia" w:ascii="仿宋" w:hAnsi="仿宋" w:eastAsia="仿宋" w:cs="仿宋"/>
          <w:color w:val="000000"/>
          <w:kern w:val="0"/>
          <w:sz w:val="24"/>
          <w:shd w:val="clear" w:color="auto" w:fill="FFFFFF"/>
          <w:lang w:bidi="ar"/>
        </w:rPr>
        <w:t>校内公开招标</w:t>
      </w:r>
    </w:p>
    <w:p>
      <w:pPr>
        <w:jc w:val="left"/>
        <w:rPr>
          <w:rFonts w:hint="eastAsia" w:ascii="仿宋" w:hAnsi="仿宋" w:eastAsia="仿宋" w:cs="仿宋"/>
          <w:color w:val="000000"/>
          <w:kern w:val="0"/>
          <w:sz w:val="24"/>
          <w:lang w:bidi="ar"/>
        </w:rPr>
      </w:pPr>
      <w:r>
        <w:rPr>
          <w:rFonts w:hint="eastAsia" w:ascii="仿宋_GB2312" w:eastAsia="仿宋_GB2312"/>
          <w:b/>
          <w:bCs/>
          <w:sz w:val="24"/>
        </w:rPr>
        <w:t>4</w:t>
      </w:r>
      <w:r>
        <w:rPr>
          <w:rFonts w:ascii="仿宋_GB2312" w:eastAsia="仿宋_GB2312"/>
          <w:b/>
          <w:bCs/>
          <w:sz w:val="24"/>
        </w:rPr>
        <w:t>.采购预算（最高限价）</w:t>
      </w:r>
      <w:r>
        <w:rPr>
          <w:rFonts w:ascii="仿宋_GB2312" w:eastAsia="仿宋_GB2312"/>
          <w:sz w:val="24"/>
        </w:rPr>
        <w:t>：</w:t>
      </w:r>
      <w:r>
        <w:rPr>
          <w:rFonts w:hint="eastAsia" w:ascii="仿宋" w:hAnsi="仿宋" w:eastAsia="仿宋" w:cs="仿宋"/>
          <w:color w:val="000000"/>
          <w:kern w:val="0"/>
          <w:sz w:val="24"/>
          <w:lang w:bidi="ar"/>
        </w:rPr>
        <w:t>人民币</w:t>
      </w:r>
      <w:r>
        <w:rPr>
          <w:rFonts w:hint="eastAsia" w:ascii="仿宋" w:hAnsi="仿宋" w:eastAsia="仿宋" w:cs="仿宋"/>
          <w:color w:val="000000"/>
          <w:kern w:val="0"/>
          <w:sz w:val="24"/>
          <w:lang w:val="en-US" w:eastAsia="zh-CN" w:bidi="ar"/>
        </w:rPr>
        <w:t>拾伍万陆仟圆</w:t>
      </w:r>
      <w:r>
        <w:rPr>
          <w:rFonts w:hint="eastAsia" w:ascii="仿宋" w:hAnsi="仿宋" w:eastAsia="仿宋" w:cs="仿宋"/>
          <w:color w:val="000000"/>
          <w:kern w:val="0"/>
          <w:sz w:val="24"/>
          <w:lang w:bidi="ar"/>
        </w:rPr>
        <w:t>整（￥</w:t>
      </w:r>
      <w:r>
        <w:rPr>
          <w:rFonts w:hint="eastAsia" w:ascii="仿宋" w:hAnsi="仿宋" w:eastAsia="仿宋" w:cs="仿宋"/>
          <w:color w:val="000000"/>
          <w:kern w:val="0"/>
          <w:sz w:val="24"/>
          <w:lang w:val="en-US" w:eastAsia="zh-CN" w:bidi="ar"/>
        </w:rPr>
        <w:t>156000</w:t>
      </w:r>
      <w:r>
        <w:rPr>
          <w:rFonts w:hint="eastAsia" w:ascii="仿宋" w:hAnsi="仿宋" w:eastAsia="仿宋" w:cs="仿宋"/>
          <w:color w:val="000000"/>
          <w:kern w:val="0"/>
          <w:sz w:val="24"/>
          <w:lang w:bidi="ar"/>
        </w:rPr>
        <w:t xml:space="preserve">元） </w:t>
      </w:r>
    </w:p>
    <w:tbl>
      <w:tblPr>
        <w:tblStyle w:val="15"/>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97"/>
        <w:gridCol w:w="1515"/>
        <w:gridCol w:w="217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1"/>
                <w:szCs w:val="21"/>
              </w:rPr>
            </w:pPr>
            <w:r>
              <w:rPr>
                <w:rFonts w:hint="eastAsia" w:ascii="宋体" w:hAnsi="宋体"/>
                <w:spacing w:val="-6"/>
                <w:sz w:val="21"/>
                <w:szCs w:val="21"/>
              </w:rPr>
              <w:t>序号</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1"/>
                <w:szCs w:val="21"/>
              </w:rPr>
            </w:pPr>
            <w:r>
              <w:rPr>
                <w:rFonts w:hint="eastAsia" w:ascii="宋体" w:hAnsi="宋体"/>
                <w:sz w:val="21"/>
                <w:szCs w:val="21"/>
              </w:rPr>
              <w:t>名称</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sz w:val="21"/>
                <w:szCs w:val="21"/>
                <w:lang w:val="en-US" w:eastAsia="zh-CN"/>
              </w:rPr>
              <w:t>学生</w:t>
            </w:r>
            <w:r>
              <w:rPr>
                <w:rFonts w:hint="eastAsia" w:ascii="宋体" w:hAnsi="宋体"/>
                <w:sz w:val="21"/>
                <w:szCs w:val="21"/>
              </w:rPr>
              <w:t>数量</w:t>
            </w:r>
            <w:r>
              <w:rPr>
                <w:rFonts w:hint="eastAsia" w:ascii="宋体" w:hAnsi="宋体"/>
                <w:sz w:val="21"/>
                <w:szCs w:val="21"/>
                <w:lang w:eastAsia="zh-CN"/>
              </w:rPr>
              <w:t>（</w:t>
            </w:r>
            <w:r>
              <w:rPr>
                <w:rFonts w:hint="eastAsia" w:ascii="宋体" w:hAnsi="宋体"/>
                <w:sz w:val="21"/>
                <w:szCs w:val="21"/>
                <w:lang w:val="en-US" w:eastAsia="zh-CN"/>
              </w:rPr>
              <w:t>预估</w:t>
            </w:r>
            <w:r>
              <w:rPr>
                <w:rFonts w:hint="eastAsia" w:ascii="宋体" w:hAnsi="宋体"/>
                <w:sz w:val="21"/>
                <w:szCs w:val="21"/>
                <w:lang w:eastAsia="zh-CN"/>
              </w:rPr>
              <w:t>）</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cs="Arial"/>
                <w:color w:val="auto"/>
                <w:spacing w:val="-6"/>
                <w:sz w:val="21"/>
                <w:szCs w:val="21"/>
                <w:highlight w:val="none"/>
              </w:rPr>
              <w:t>单价最高限价（元人民币）</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1"/>
                <w:szCs w:val="21"/>
              </w:rPr>
            </w:pPr>
            <w:r>
              <w:rPr>
                <w:rFonts w:hint="eastAsia" w:ascii="宋体" w:hAnsi="宋体"/>
                <w:sz w:val="21"/>
                <w:szCs w:val="21"/>
              </w:rPr>
              <w:t>预算金额</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spacing w:val="-6"/>
                <w:sz w:val="21"/>
                <w:szCs w:val="21"/>
                <w:highlight w:val="none"/>
              </w:rPr>
            </w:pPr>
            <w:r>
              <w:rPr>
                <w:rFonts w:hint="eastAsia" w:ascii="宋体" w:hAnsi="宋体"/>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1"/>
                <w:szCs w:val="21"/>
              </w:rPr>
            </w:pPr>
            <w:r>
              <w:rPr>
                <w:rFonts w:hint="eastAsia" w:ascii="宋体" w:hAnsi="宋体"/>
                <w:sz w:val="21"/>
                <w:szCs w:val="21"/>
              </w:rPr>
              <w:t>1</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1"/>
                <w:szCs w:val="21"/>
              </w:rPr>
            </w:pPr>
            <w:r>
              <w:rPr>
                <w:rFonts w:hint="eastAsia" w:ascii="宋体" w:hAnsi="宋体"/>
                <w:sz w:val="21"/>
                <w:szCs w:val="21"/>
              </w:rPr>
              <w:t>新生入学体检服务</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2600</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cs="Arial"/>
                <w:color w:val="auto"/>
                <w:spacing w:val="-6"/>
                <w:sz w:val="21"/>
                <w:szCs w:val="21"/>
                <w:highlight w:val="none"/>
              </w:rPr>
              <w:t>60/人</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spacing w:val="-6"/>
                <w:sz w:val="21"/>
                <w:szCs w:val="21"/>
                <w:highlight w:val="none"/>
              </w:rPr>
            </w:pPr>
            <w:r>
              <w:rPr>
                <w:rFonts w:hint="eastAsia" w:ascii="宋体" w:hAnsi="宋体"/>
                <w:sz w:val="21"/>
                <w:szCs w:val="21"/>
                <w:highlight w:val="none"/>
                <w:lang w:val="en-US" w:eastAsia="zh-CN"/>
              </w:rPr>
              <w:t>15.6</w:t>
            </w:r>
          </w:p>
        </w:tc>
      </w:tr>
    </w:tbl>
    <w:p>
      <w:pPr>
        <w:pStyle w:val="7"/>
      </w:pPr>
    </w:p>
    <w:p>
      <w:pPr>
        <w:numPr>
          <w:ilvl w:val="0"/>
          <w:numId w:val="0"/>
        </w:numPr>
        <w:rPr>
          <w:rFonts w:hint="eastAsia" w:ascii="仿宋" w:hAnsi="仿宋" w:eastAsia="仿宋" w:cs="仿宋_GB2312"/>
          <w:sz w:val="24"/>
        </w:rPr>
      </w:pPr>
      <w:r>
        <w:rPr>
          <w:rFonts w:hint="eastAsia" w:ascii="仿宋" w:hAnsi="仿宋" w:eastAsia="仿宋" w:cs="仿宋_GB2312"/>
          <w:b/>
          <w:sz w:val="24"/>
          <w:lang w:val="en-US" w:eastAsia="zh-CN"/>
        </w:rPr>
        <w:t>5.</w:t>
      </w:r>
      <w:r>
        <w:rPr>
          <w:rFonts w:hint="eastAsia" w:ascii="仿宋" w:hAnsi="仿宋" w:eastAsia="仿宋" w:cs="仿宋_GB2312"/>
          <w:b/>
          <w:sz w:val="24"/>
        </w:rPr>
        <w:t>采购清单</w:t>
      </w:r>
      <w:r>
        <w:rPr>
          <w:rFonts w:hint="eastAsia" w:ascii="仿宋" w:hAnsi="仿宋" w:eastAsia="仿宋" w:cs="仿宋_GB2312"/>
          <w:sz w:val="24"/>
        </w:rPr>
        <w:t>（包括货物名称、规格尺寸、数量等），见下表：</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b/>
                <w:bCs/>
                <w:sz w:val="24"/>
                <w:vertAlign w:val="baseline"/>
                <w:lang w:val="en-US" w:eastAsia="zh-CN"/>
              </w:rPr>
            </w:pPr>
            <w:r>
              <w:rPr>
                <w:rFonts w:hint="eastAsia" w:ascii="仿宋" w:hAnsi="仿宋" w:eastAsia="仿宋" w:cs="仿宋_GB2312"/>
                <w:b/>
                <w:bCs/>
                <w:sz w:val="24"/>
                <w:vertAlign w:val="baseline"/>
                <w:lang w:val="en-US" w:eastAsia="zh-CN"/>
              </w:rPr>
              <w:t>检查项目</w:t>
            </w:r>
          </w:p>
        </w:tc>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b/>
                <w:bCs/>
                <w:sz w:val="24"/>
                <w:vertAlign w:val="baseline"/>
                <w:lang w:val="en-US" w:eastAsia="zh-CN"/>
              </w:rPr>
            </w:pPr>
            <w:r>
              <w:rPr>
                <w:rFonts w:hint="eastAsia" w:ascii="仿宋" w:hAnsi="仿宋" w:eastAsia="仿宋" w:cs="仿宋_GB2312"/>
                <w:b/>
                <w:bCs/>
                <w:sz w:val="24"/>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内科常规检查</w:t>
            </w:r>
          </w:p>
        </w:tc>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心、肺、肝、脾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口腔检查</w:t>
            </w:r>
          </w:p>
        </w:tc>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牙齿、牙周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眼科检查</w:t>
            </w:r>
          </w:p>
        </w:tc>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视力、沙眼、结膜炎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外科检查</w:t>
            </w:r>
          </w:p>
        </w:tc>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头部、颈部、胸部、脊柱、四肢、皮肤、淋巴结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形态指标检查</w:t>
            </w:r>
          </w:p>
        </w:tc>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身高、体重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生理功能指标检查</w:t>
            </w:r>
          </w:p>
        </w:tc>
        <w:tc>
          <w:tcPr>
            <w:tcW w:w="453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肝功能、胸透、血压测量</w:t>
            </w:r>
          </w:p>
        </w:tc>
      </w:tr>
    </w:tbl>
    <w:p>
      <w:pPr>
        <w:numPr>
          <w:ilvl w:val="0"/>
          <w:numId w:val="0"/>
        </w:numPr>
        <w:ind w:firstLine="211" w:firstLineChars="100"/>
        <w:rPr>
          <w:rFonts w:hint="eastAsia" w:ascii="宋体" w:hAnsi="宋体"/>
          <w:b/>
          <w:sz w:val="21"/>
          <w:szCs w:val="21"/>
        </w:rPr>
      </w:pPr>
    </w:p>
    <w:p>
      <w:pPr>
        <w:numPr>
          <w:ilvl w:val="0"/>
          <w:numId w:val="0"/>
        </w:numPr>
        <w:ind w:firstLine="211" w:firstLineChars="100"/>
        <w:rPr>
          <w:rFonts w:hint="default" w:ascii="仿宋" w:hAnsi="仿宋" w:eastAsia="仿宋" w:cs="仿宋_GB2312"/>
          <w:sz w:val="24"/>
          <w:lang w:val="en-US" w:eastAsia="zh-CN"/>
        </w:rPr>
      </w:pPr>
      <w:r>
        <w:rPr>
          <w:rFonts w:hint="eastAsia" w:ascii="宋体" w:hAnsi="宋体"/>
          <w:b/>
          <w:sz w:val="21"/>
          <w:szCs w:val="21"/>
        </w:rPr>
        <w:t>▲</w:t>
      </w:r>
      <w:r>
        <w:rPr>
          <w:rFonts w:hint="eastAsia" w:ascii="仿宋" w:hAnsi="仿宋" w:eastAsia="仿宋" w:cs="仿宋_GB2312"/>
          <w:sz w:val="24"/>
          <w:lang w:val="en-US" w:eastAsia="zh-CN"/>
        </w:rPr>
        <w:t>要求5天内完成，由供应商提供胸部DR车进校与学生体检同步进行，并提供完成全部体检项目的设备仪器，所有体检项目均在校内完成。</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rPr>
          <w:rFonts w:hint="eastAsia" w:ascii="仿宋" w:hAnsi="仿宋" w:eastAsia="仿宋" w:cs="仿宋_GB2312"/>
          <w:b/>
          <w:spacing w:val="0"/>
          <w:kern w:val="2"/>
          <w:sz w:val="24"/>
          <w:szCs w:val="24"/>
          <w:lang w:val="en-US" w:eastAsia="zh-CN" w:bidi="ar-SA"/>
        </w:rPr>
      </w:pPr>
      <w:r>
        <w:rPr>
          <w:rFonts w:hint="eastAsia" w:ascii="仿宋" w:hAnsi="仿宋" w:eastAsia="仿宋" w:cs="仿宋_GB2312"/>
          <w:b/>
          <w:spacing w:val="0"/>
          <w:kern w:val="2"/>
          <w:sz w:val="24"/>
          <w:szCs w:val="24"/>
          <w:lang w:val="en-US" w:eastAsia="zh-CN" w:bidi="ar-SA"/>
        </w:rPr>
        <w:t>6.采购要求:</w:t>
      </w:r>
    </w:p>
    <w:p>
      <w:pPr>
        <w:spacing w:line="288" w:lineRule="auto"/>
        <w:ind w:firstLine="480" w:firstLineChars="200"/>
        <w:rPr>
          <w:rFonts w:hint="eastAsia" w:ascii="仿宋" w:hAnsi="仿宋" w:eastAsia="仿宋" w:cs="Times New Roman"/>
          <w:sz w:val="24"/>
          <w:lang w:val="en-US" w:eastAsia="zh-CN"/>
        </w:rPr>
      </w:pPr>
      <w:r>
        <w:rPr>
          <w:rFonts w:hint="eastAsia" w:ascii="仿宋" w:hAnsi="仿宋" w:eastAsia="仿宋"/>
          <w:sz w:val="24"/>
          <w:lang w:val="en-US" w:eastAsia="zh-CN"/>
        </w:rPr>
        <w:t>1.具体体检时间和人数安排根据学校安排确定；</w:t>
      </w:r>
      <w:r>
        <w:rPr>
          <w:rFonts w:hint="eastAsia" w:ascii="仿宋" w:hAnsi="仿宋" w:eastAsia="仿宋" w:cs="Times New Roman"/>
          <w:sz w:val="24"/>
          <w:lang w:val="en-US" w:eastAsia="zh-CN"/>
        </w:rPr>
        <w:t>按照要求，按时、安全、有序进行体检；</w:t>
      </w:r>
    </w:p>
    <w:p>
      <w:pPr>
        <w:spacing w:line="288" w:lineRule="auto"/>
        <w:ind w:firstLine="480" w:firstLineChars="200"/>
        <w:rPr>
          <w:rFonts w:hint="eastAsia"/>
          <w:lang w:val="en-US" w:eastAsia="zh-CN"/>
        </w:rPr>
      </w:pPr>
      <w:r>
        <w:rPr>
          <w:rFonts w:hint="eastAsia" w:ascii="仿宋" w:hAnsi="仿宋" w:eastAsia="仿宋" w:cs="Times New Roman"/>
          <w:sz w:val="24"/>
          <w:lang w:val="en-US" w:eastAsia="zh-CN"/>
        </w:rPr>
        <w:t>2.所需设备及耗材自带，医用废弃物专袋、专箱收集；</w:t>
      </w:r>
    </w:p>
    <w:p>
      <w:pPr>
        <w:spacing w:line="340" w:lineRule="exact"/>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3.要求业务技术精、工作责任心强、服务态度好、有经验执业专科医师参加体检服务工作；</w:t>
      </w:r>
    </w:p>
    <w:p>
      <w:pPr>
        <w:spacing w:line="340" w:lineRule="exact"/>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4.各科医生人数配备合理、足够，提供参加体检服务各科医生的人数；</w:t>
      </w:r>
    </w:p>
    <w:p>
      <w:pPr>
        <w:spacing w:line="340" w:lineRule="exact"/>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5.化验要求：由有资质的临床检验技师完成；（提供相关证明材料）</w:t>
      </w:r>
    </w:p>
    <w:p>
      <w:pPr>
        <w:spacing w:line="340" w:lineRule="exact"/>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6.胸透要求：由有中级职称及以上的放射科医师操作，对肺部病变要有敏锐的分辨能力和丰富的临床经验；（提供相关证明材料）</w:t>
      </w:r>
    </w:p>
    <w:p>
      <w:pPr>
        <w:spacing w:line="340" w:lineRule="exact"/>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7.要了解过去史，对发现的异常或有残疾者重点标明并做登记；</w:t>
      </w:r>
    </w:p>
    <w:p>
      <w:pPr>
        <w:spacing w:line="340" w:lineRule="exact"/>
        <w:ind w:firstLine="480" w:firstLineChars="200"/>
        <w:jc w:val="left"/>
        <w:rPr>
          <w:rFonts w:hint="default" w:ascii="仿宋" w:hAnsi="仿宋" w:eastAsia="仿宋" w:cs="Times New Roman"/>
          <w:sz w:val="24"/>
          <w:lang w:val="en-US" w:eastAsia="zh-CN"/>
        </w:rPr>
      </w:pPr>
      <w:r>
        <w:rPr>
          <w:rFonts w:hint="eastAsia" w:ascii="仿宋" w:hAnsi="仿宋" w:eastAsia="仿宋"/>
          <w:sz w:val="24"/>
          <w:lang w:val="en-US" w:eastAsia="zh-CN"/>
        </w:rPr>
        <w:t>8.保障体检服务学生的安全；</w:t>
      </w:r>
      <w:r>
        <w:rPr>
          <w:rFonts w:hint="eastAsia" w:ascii="仿宋" w:hAnsi="仿宋" w:eastAsia="仿宋" w:cs="Times New Roman"/>
          <w:sz w:val="24"/>
          <w:lang w:val="en-US" w:eastAsia="zh-CN"/>
        </w:rPr>
        <w:t>漏检人员能及时补检；</w:t>
      </w:r>
    </w:p>
    <w:p>
      <w:pPr>
        <w:spacing w:line="340" w:lineRule="exact"/>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9.学生体检服务结束要分析体检服务结果；体检服务结束后</w:t>
      </w:r>
      <w:r>
        <w:rPr>
          <w:rFonts w:hint="eastAsia" w:ascii="仿宋" w:hAnsi="仿宋" w:eastAsia="仿宋"/>
          <w:sz w:val="24"/>
          <w:highlight w:val="none"/>
          <w:lang w:val="en-US" w:eastAsia="zh-CN"/>
        </w:rPr>
        <w:t>7个工作日提</w:t>
      </w:r>
      <w:r>
        <w:rPr>
          <w:rFonts w:hint="eastAsia" w:ascii="仿宋" w:hAnsi="仿宋" w:eastAsia="仿宋"/>
          <w:sz w:val="24"/>
          <w:lang w:val="en-US" w:eastAsia="zh-CN"/>
        </w:rPr>
        <w:t>供体检服务报告。体检服务结束全部返回体检表，（体检表由承办单位提供，体检服务结束后回收体检表交湖州学院学生处），给出体检服务结论(对体检项目作出是否正常或异常结论)，并附电子文档汇总报告。</w:t>
      </w:r>
    </w:p>
    <w:p>
      <w:pPr>
        <w:spacing w:line="360" w:lineRule="auto"/>
        <w:ind w:left="0" w:leftChars="0" w:firstLine="480" w:firstLineChars="200"/>
        <w:rPr>
          <w:rFonts w:hint="default" w:ascii="仿宋" w:hAnsi="仿宋" w:eastAsia="仿宋"/>
          <w:sz w:val="24"/>
          <w:highlight w:val="none"/>
          <w:lang w:val="en-US" w:eastAsia="zh-CN"/>
        </w:rPr>
      </w:pPr>
      <w:r>
        <w:rPr>
          <w:rFonts w:hint="eastAsia" w:ascii="仿宋" w:hAnsi="仿宋" w:eastAsia="仿宋"/>
          <w:sz w:val="24"/>
          <w:lang w:val="en-US" w:eastAsia="zh-CN"/>
        </w:rPr>
        <w:t>10.体检完成时间：</w:t>
      </w:r>
      <w:r>
        <w:rPr>
          <w:rFonts w:hint="eastAsia" w:ascii="仿宋" w:hAnsi="仿宋" w:eastAsia="仿宋" w:cs="Times New Roman"/>
          <w:sz w:val="24"/>
          <w:lang w:val="en-US" w:eastAsia="zh-CN"/>
        </w:rPr>
        <w:t>本校所有人员的健康体检均在2023年</w:t>
      </w:r>
      <w:r>
        <w:rPr>
          <w:rFonts w:hint="eastAsia" w:ascii="仿宋" w:hAnsi="仿宋" w:eastAsia="仿宋" w:cs="Times New Roman"/>
          <w:sz w:val="24"/>
          <w:highlight w:val="none"/>
          <w:lang w:val="en-US" w:eastAsia="zh-CN"/>
        </w:rPr>
        <w:t>10月30日前完成。</w:t>
      </w:r>
    </w:p>
    <w:p>
      <w:pPr>
        <w:spacing w:line="340" w:lineRule="exact"/>
        <w:ind w:firstLine="480" w:firstLineChars="200"/>
        <w:jc w:val="left"/>
        <w:rPr>
          <w:rFonts w:hint="eastAsia" w:ascii="仿宋" w:hAnsi="仿宋" w:eastAsia="仿宋"/>
          <w:sz w:val="24"/>
          <w:highlight w:val="yellow"/>
          <w:lang w:val="en-US" w:eastAsia="zh-CN"/>
        </w:rPr>
      </w:pPr>
      <w:r>
        <w:rPr>
          <w:rFonts w:hint="eastAsia" w:ascii="仿宋" w:hAnsi="仿宋" w:eastAsia="仿宋"/>
          <w:sz w:val="24"/>
          <w:lang w:val="en-US" w:eastAsia="zh-CN"/>
        </w:rPr>
        <w:t>备注：体检服务人数为估算数，结算款项时以实际人数为</w:t>
      </w:r>
      <w:r>
        <w:rPr>
          <w:rFonts w:hint="eastAsia" w:ascii="仿宋" w:hAnsi="仿宋" w:eastAsia="仿宋"/>
          <w:sz w:val="24"/>
          <w:highlight w:val="none"/>
          <w:lang w:val="en-US" w:eastAsia="zh-CN"/>
        </w:rPr>
        <w:t>准。</w:t>
      </w:r>
    </w:p>
    <w:p>
      <w:pPr>
        <w:numPr>
          <w:ilvl w:val="0"/>
          <w:numId w:val="0"/>
        </w:numPr>
        <w:spacing w:line="340" w:lineRule="exact"/>
        <w:ind w:firstLine="482" w:firstLineChars="200"/>
        <w:jc w:val="left"/>
      </w:pPr>
      <w:r>
        <w:rPr>
          <w:rFonts w:hint="eastAsia" w:ascii="仿宋" w:hAnsi="仿宋" w:eastAsia="仿宋"/>
          <w:b/>
          <w:bCs/>
          <w:sz w:val="24"/>
          <w:lang w:val="en-US" w:eastAsia="zh-CN"/>
        </w:rPr>
        <w:t>二、</w:t>
      </w:r>
      <w:r>
        <w:rPr>
          <w:rFonts w:hint="eastAsia" w:ascii="仿宋" w:hAnsi="仿宋" w:eastAsia="仿宋"/>
          <w:b/>
          <w:bCs/>
          <w:sz w:val="24"/>
        </w:rPr>
        <w:t>投标人资格要求：</w:t>
      </w:r>
    </w:p>
    <w:p>
      <w:pPr>
        <w:pStyle w:val="2"/>
        <w:ind w:firstLine="480" w:firstLineChars="200"/>
        <w:jc w:val="left"/>
        <w:rPr>
          <w:rFonts w:ascii="仿宋" w:hAnsi="仿宋" w:eastAsia="仿宋" w:cs="Times New Roman"/>
          <w:b w:val="0"/>
          <w:bCs w:val="0"/>
          <w:sz w:val="24"/>
        </w:rPr>
      </w:pPr>
      <w:r>
        <w:rPr>
          <w:rFonts w:hint="eastAsia" w:ascii="仿宋" w:hAnsi="仿宋" w:eastAsia="仿宋" w:cs="Times New Roman"/>
          <w:b w:val="0"/>
          <w:bCs w:val="0"/>
          <w:sz w:val="24"/>
        </w:rPr>
        <w:t>（一）一般资格要求</w:t>
      </w:r>
    </w:p>
    <w:p>
      <w:pPr>
        <w:spacing w:line="340" w:lineRule="exact"/>
        <w:ind w:firstLine="480" w:firstLineChars="200"/>
        <w:jc w:val="left"/>
        <w:rPr>
          <w:rFonts w:ascii="仿宋" w:hAnsi="仿宋" w:eastAsia="仿宋"/>
          <w:sz w:val="24"/>
        </w:rPr>
      </w:pPr>
      <w:r>
        <w:rPr>
          <w:rFonts w:hint="eastAsia" w:ascii="仿宋" w:hAnsi="仿宋" w:eastAsia="仿宋"/>
          <w:sz w:val="24"/>
        </w:rPr>
        <w:t>1.符合《中华人民共和国政府采购法》第二十二条规定和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pPr>
        <w:spacing w:line="340" w:lineRule="exact"/>
        <w:ind w:firstLine="480" w:firstLineChars="200"/>
        <w:jc w:val="left"/>
        <w:rPr>
          <w:rFonts w:ascii="仿宋" w:hAnsi="仿宋" w:eastAsia="仿宋"/>
          <w:sz w:val="24"/>
        </w:rPr>
      </w:pPr>
      <w:r>
        <w:rPr>
          <w:rFonts w:hint="eastAsia" w:ascii="仿宋" w:hAnsi="仿宋" w:eastAsia="仿宋"/>
          <w:sz w:val="24"/>
        </w:rPr>
        <w:t>2.投标人未在行政处罚期内和未被列入经营异常名录（国家企业信用信息公示系统：www.gsxt.gov.cn）。</w:t>
      </w:r>
    </w:p>
    <w:p>
      <w:pPr>
        <w:spacing w:line="340" w:lineRule="exact"/>
        <w:ind w:firstLine="480" w:firstLineChars="200"/>
        <w:jc w:val="left"/>
        <w:rPr>
          <w:rFonts w:ascii="仿宋" w:hAnsi="仿宋" w:eastAsia="仿宋"/>
          <w:sz w:val="24"/>
        </w:rPr>
      </w:pPr>
      <w:r>
        <w:rPr>
          <w:rFonts w:hint="eastAsia" w:ascii="仿宋" w:hAnsi="仿宋" w:eastAsia="仿宋"/>
          <w:sz w:val="24"/>
        </w:rPr>
        <w:t>3.营业执照经营范围应符合本项目要求；</w:t>
      </w:r>
    </w:p>
    <w:p>
      <w:pPr>
        <w:spacing w:line="340" w:lineRule="exact"/>
        <w:ind w:firstLine="480" w:firstLineChars="200"/>
        <w:jc w:val="left"/>
        <w:rPr>
          <w:rFonts w:hint="eastAsia" w:ascii="仿宋" w:hAnsi="仿宋" w:eastAsia="仿宋"/>
          <w:sz w:val="24"/>
        </w:rPr>
      </w:pPr>
      <w:r>
        <w:rPr>
          <w:rFonts w:hint="eastAsia" w:ascii="仿宋" w:hAnsi="仿宋" w:eastAsia="仿宋"/>
          <w:sz w:val="24"/>
        </w:rPr>
        <w:t>4.本项目不接受联合体投标。</w:t>
      </w:r>
    </w:p>
    <w:p>
      <w:pPr>
        <w:spacing w:line="340" w:lineRule="exact"/>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5.本项目不接受转包和分包。</w:t>
      </w:r>
    </w:p>
    <w:p>
      <w:pPr>
        <w:spacing w:line="340" w:lineRule="exact"/>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（二）特定资格要求</w:t>
      </w:r>
    </w:p>
    <w:p>
      <w:pPr>
        <w:spacing w:line="340" w:lineRule="exact"/>
        <w:ind w:firstLine="480" w:firstLineChars="200"/>
        <w:jc w:val="left"/>
        <w:rPr>
          <w:rFonts w:hint="default" w:ascii="仿宋" w:hAnsi="仿宋" w:eastAsia="仿宋"/>
          <w:sz w:val="24"/>
          <w:highlight w:val="none"/>
        </w:rPr>
      </w:pPr>
      <w:r>
        <w:rPr>
          <w:rFonts w:hint="default" w:ascii="仿宋" w:hAnsi="仿宋" w:eastAsia="仿宋"/>
          <w:sz w:val="24"/>
          <w:highlight w:val="none"/>
        </w:rPr>
        <w:t>1.具有卫生行政主管部门颁发的医疗执业机构许可证并在有效期内，年检正常，许可范围包括体检、内科、外科放射、检验等相关诊疗范围;</w:t>
      </w:r>
    </w:p>
    <w:p>
      <w:pPr>
        <w:spacing w:line="340" w:lineRule="exact"/>
        <w:ind w:firstLine="480" w:firstLineChars="200"/>
        <w:jc w:val="left"/>
        <w:rPr>
          <w:rFonts w:hint="default" w:ascii="仿宋" w:hAnsi="仿宋" w:eastAsia="仿宋"/>
          <w:sz w:val="24"/>
          <w:highlight w:val="yellow"/>
        </w:rPr>
      </w:pPr>
      <w:r>
        <w:rPr>
          <w:rFonts w:hint="default" w:ascii="仿宋" w:hAnsi="仿宋" w:eastAsia="仿宋"/>
          <w:sz w:val="24"/>
          <w:highlight w:val="yellow"/>
        </w:rPr>
        <w:t>2.具有卫生行政主管部门颁发的放射诊疗许可证并在有效期内，年检正常，内容应包括提供放射流动车;</w:t>
      </w:r>
    </w:p>
    <w:p>
      <w:pPr>
        <w:spacing w:line="340" w:lineRule="exact"/>
        <w:ind w:firstLine="480" w:firstLineChars="200"/>
        <w:jc w:val="left"/>
        <w:rPr>
          <w:rFonts w:hint="default" w:ascii="仿宋" w:hAnsi="仿宋" w:eastAsia="仿宋"/>
          <w:sz w:val="24"/>
          <w:highlight w:val="yellow"/>
        </w:rPr>
      </w:pPr>
      <w:r>
        <w:rPr>
          <w:rFonts w:hint="default" w:ascii="仿宋" w:hAnsi="仿宋" w:eastAsia="仿宋"/>
          <w:sz w:val="24"/>
          <w:highlight w:val="yellow"/>
        </w:rPr>
        <w:t>3</w:t>
      </w:r>
      <w:r>
        <w:rPr>
          <w:rFonts w:hint="eastAsia" w:ascii="仿宋" w:hAnsi="仿宋" w:eastAsia="仿宋"/>
          <w:sz w:val="24"/>
          <w:highlight w:val="yellow"/>
        </w:rPr>
        <w:t>.体检服务医师具备医师资质和执业证书</w:t>
      </w:r>
      <w:r>
        <w:rPr>
          <w:rFonts w:hint="default" w:ascii="仿宋" w:hAnsi="仿宋" w:eastAsia="仿宋"/>
          <w:sz w:val="24"/>
          <w:highlight w:val="yellow"/>
        </w:rPr>
        <w:t>。</w:t>
      </w:r>
    </w:p>
    <w:p>
      <w:pPr>
        <w:spacing w:line="340" w:lineRule="exact"/>
        <w:ind w:firstLine="482" w:firstLineChars="200"/>
        <w:jc w:val="left"/>
        <w:rPr>
          <w:rFonts w:ascii="仿宋" w:hAnsi="仿宋" w:eastAsia="仿宋"/>
          <w:b/>
          <w:bCs/>
          <w:sz w:val="24"/>
        </w:rPr>
      </w:pPr>
      <w:r>
        <w:rPr>
          <w:rFonts w:hint="eastAsia" w:ascii="仿宋" w:hAnsi="仿宋" w:eastAsia="仿宋"/>
          <w:b/>
          <w:bCs/>
          <w:sz w:val="24"/>
        </w:rPr>
        <w:t>三、投标文件要求</w:t>
      </w:r>
    </w:p>
    <w:p>
      <w:pPr>
        <w:spacing w:line="340" w:lineRule="exact"/>
        <w:ind w:firstLine="480" w:firstLineChars="200"/>
        <w:jc w:val="left"/>
        <w:rPr>
          <w:rFonts w:ascii="仿宋" w:hAnsi="仿宋" w:eastAsia="仿宋"/>
          <w:color w:val="000000"/>
          <w:sz w:val="24"/>
          <w:highlight w:val="none"/>
        </w:rPr>
      </w:pPr>
      <w:r>
        <w:rPr>
          <w:rFonts w:hint="eastAsia" w:ascii="仿宋" w:hAnsi="仿宋" w:eastAsia="仿宋"/>
          <w:sz w:val="24"/>
          <w:highlight w:val="none"/>
        </w:rPr>
        <w:t>投标文件由《技术、商务、资信及其他文件》和《报价文件》两部分组成，投标人应按《技术、商务、资信及其他文件》和《报价文件》正本各1份、副本各1份编制，文件须密封并胶装成册</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并在封面及每一页加盖供应商公章。</w:t>
      </w:r>
      <w:r>
        <w:rPr>
          <w:rFonts w:hint="eastAsia" w:ascii="仿宋" w:hAnsi="仿宋" w:eastAsia="仿宋"/>
          <w:sz w:val="24"/>
          <w:highlight w:val="none"/>
        </w:rPr>
        <w:t>所有证件均须真实、有效，原件、复印件均须加盖公章，</w:t>
      </w:r>
      <w:r>
        <w:rPr>
          <w:rFonts w:hint="eastAsia" w:ascii="仿宋" w:hAnsi="仿宋" w:eastAsia="仿宋"/>
          <w:color w:val="000000"/>
          <w:sz w:val="24"/>
          <w:highlight w:val="none"/>
        </w:rPr>
        <w:t>缺少以下任意一项内容即作无效标处理。</w:t>
      </w:r>
    </w:p>
    <w:p>
      <w:pPr>
        <w:pStyle w:val="3"/>
        <w:ind w:firstLine="482" w:firstLineChars="200"/>
        <w:rPr>
          <w:rFonts w:ascii="仿宋" w:hAnsi="仿宋" w:eastAsia="仿宋"/>
          <w:bCs/>
        </w:rPr>
      </w:pPr>
      <w:r>
        <w:rPr>
          <w:rFonts w:hint="eastAsia" w:ascii="仿宋" w:hAnsi="仿宋" w:eastAsia="仿宋"/>
          <w:bCs/>
        </w:rPr>
        <w:t>（一）</w:t>
      </w:r>
      <w:r>
        <w:rPr>
          <w:rFonts w:ascii="仿宋" w:hAnsi="仿宋" w:eastAsia="仿宋"/>
          <w:bCs/>
        </w:rPr>
        <w:t>技术、商务、资信及其他文件：</w:t>
      </w:r>
    </w:p>
    <w:p>
      <w:pPr>
        <w:ind w:firstLine="480" w:firstLineChars="200"/>
        <w:jc w:val="left"/>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营业执照副本复印件；</w:t>
      </w:r>
    </w:p>
    <w:p>
      <w:pPr>
        <w:ind w:firstLine="480" w:firstLineChars="200"/>
        <w:jc w:val="left"/>
        <w:rPr>
          <w:rFonts w:ascii="仿宋" w:hAnsi="仿宋" w:eastAsia="仿宋"/>
          <w:sz w:val="24"/>
        </w:rPr>
      </w:pPr>
      <w:r>
        <w:rPr>
          <w:rFonts w:hint="eastAsia" w:ascii="仿宋" w:hAnsi="仿宋" w:eastAsia="仿宋"/>
          <w:sz w:val="24"/>
        </w:rPr>
        <w:t>2.提供自采购公告发布之日起至开标截止时间止的“信用中国”网站（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投标人信用查询网页截图（至少提供2个网站的截图；以开标当日采购人核实的查询结果为准）；</w:t>
      </w:r>
    </w:p>
    <w:p>
      <w:pPr>
        <w:ind w:firstLine="480" w:firstLineChars="200"/>
        <w:jc w:val="left"/>
        <w:rPr>
          <w:rFonts w:ascii="仿宋" w:hAnsi="仿宋" w:eastAsia="仿宋" w:cs="仿宋_GB2312"/>
          <w:sz w:val="24"/>
        </w:rPr>
      </w:pPr>
      <w:r>
        <w:rPr>
          <w:rFonts w:hint="eastAsia" w:ascii="仿宋" w:hAnsi="仿宋" w:eastAsia="仿宋"/>
          <w:sz w:val="24"/>
        </w:rPr>
        <w:t>3</w:t>
      </w:r>
      <w:r>
        <w:rPr>
          <w:rFonts w:ascii="仿宋" w:hAnsi="仿宋" w:eastAsia="仿宋"/>
          <w:sz w:val="24"/>
        </w:rPr>
        <w:t>.</w:t>
      </w:r>
      <w:r>
        <w:rPr>
          <w:rFonts w:hint="eastAsia" w:ascii="仿宋" w:hAnsi="仿宋" w:eastAsia="仿宋" w:cs="仿宋_GB2312"/>
          <w:sz w:val="24"/>
        </w:rPr>
        <w:t>投标代表身份证复印件；如非法定代表人投标，另提供法定代表人授权委托书原件、法定代表人身份证复印件；</w:t>
      </w:r>
    </w:p>
    <w:p>
      <w:pPr>
        <w:ind w:firstLine="480" w:firstLineChars="200"/>
        <w:jc w:val="left"/>
        <w:rPr>
          <w:rFonts w:hint="eastAsia" w:ascii="仿宋" w:hAnsi="仿宋" w:eastAsia="仿宋" w:cs="仿宋_GB2312"/>
          <w:sz w:val="24"/>
          <w:highlight w:val="none"/>
        </w:rPr>
      </w:pPr>
      <w:r>
        <w:rPr>
          <w:rFonts w:hint="eastAsia" w:ascii="仿宋" w:hAnsi="仿宋" w:eastAsia="仿宋"/>
          <w:sz w:val="24"/>
          <w:highlight w:val="none"/>
        </w:rPr>
        <w:t>4</w:t>
      </w:r>
      <w:r>
        <w:rPr>
          <w:rFonts w:ascii="仿宋" w:hAnsi="仿宋" w:eastAsia="仿宋"/>
          <w:sz w:val="24"/>
          <w:highlight w:val="none"/>
        </w:rPr>
        <w:t>.</w:t>
      </w:r>
      <w:r>
        <w:rPr>
          <w:rFonts w:hint="eastAsia" w:ascii="仿宋" w:hAnsi="仿宋" w:eastAsia="仿宋" w:cs="仿宋_GB2312"/>
          <w:sz w:val="24"/>
          <w:highlight w:val="none"/>
        </w:rPr>
        <w:t>投标人开户银行、户名、账号；</w:t>
      </w:r>
    </w:p>
    <w:p>
      <w:pPr>
        <w:ind w:firstLine="480" w:firstLineChars="200"/>
        <w:jc w:val="left"/>
        <w:rPr>
          <w:rFonts w:hint="default" w:ascii="仿宋" w:hAnsi="仿宋" w:eastAsia="仿宋"/>
          <w:sz w:val="24"/>
          <w:highlight w:val="yellow"/>
        </w:rPr>
      </w:pPr>
      <w:r>
        <w:rPr>
          <w:rFonts w:hint="eastAsia" w:ascii="仿宋" w:hAnsi="仿宋" w:eastAsia="仿宋"/>
          <w:sz w:val="24"/>
          <w:highlight w:val="yellow"/>
          <w:lang w:val="en-US" w:eastAsia="zh-CN"/>
        </w:rPr>
        <w:t>5.</w:t>
      </w:r>
      <w:r>
        <w:rPr>
          <w:rFonts w:hint="default" w:ascii="仿宋" w:hAnsi="仿宋" w:eastAsia="仿宋"/>
          <w:sz w:val="24"/>
          <w:highlight w:val="yellow"/>
        </w:rPr>
        <w:t>卫生行政主管部门颁发的医疗执业机构许可证并在有效期内，年检正常，许可范围包括体检、内科、外科放射、检验等相关诊疗范围;</w:t>
      </w:r>
    </w:p>
    <w:p>
      <w:pPr>
        <w:spacing w:line="340" w:lineRule="exact"/>
        <w:ind w:firstLine="480" w:firstLineChars="200"/>
        <w:jc w:val="left"/>
        <w:rPr>
          <w:rFonts w:hint="default" w:ascii="仿宋" w:hAnsi="仿宋" w:eastAsia="仿宋"/>
          <w:sz w:val="24"/>
          <w:highlight w:val="yellow"/>
        </w:rPr>
      </w:pPr>
      <w:r>
        <w:rPr>
          <w:rFonts w:hint="eastAsia" w:ascii="仿宋" w:hAnsi="仿宋" w:eastAsia="仿宋"/>
          <w:sz w:val="24"/>
          <w:highlight w:val="yellow"/>
          <w:lang w:val="en-US" w:eastAsia="zh-CN"/>
        </w:rPr>
        <w:t>6.</w:t>
      </w:r>
      <w:r>
        <w:rPr>
          <w:rFonts w:hint="default" w:ascii="仿宋" w:hAnsi="仿宋" w:eastAsia="仿宋"/>
          <w:sz w:val="24"/>
          <w:highlight w:val="yellow"/>
        </w:rPr>
        <w:t>卫生行政主管部门颁发的放射诊疗许可证并在有效期内，年检正常，内容应包括提供放射流动车;</w:t>
      </w:r>
    </w:p>
    <w:p>
      <w:pPr>
        <w:ind w:firstLine="480" w:firstLineChars="200"/>
        <w:jc w:val="left"/>
        <w:rPr>
          <w:rFonts w:hint="default" w:ascii="仿宋" w:hAnsi="仿宋" w:eastAsia="仿宋"/>
          <w:sz w:val="24"/>
          <w:highlight w:val="yellow"/>
          <w:lang w:val="en-US" w:eastAsia="zh-CN"/>
        </w:rPr>
      </w:pPr>
      <w:r>
        <w:rPr>
          <w:rFonts w:hint="eastAsia" w:ascii="仿宋" w:hAnsi="仿宋" w:eastAsia="仿宋"/>
          <w:sz w:val="24"/>
          <w:highlight w:val="yellow"/>
          <w:lang w:val="en-US" w:eastAsia="zh-CN"/>
        </w:rPr>
        <w:t>7.</w:t>
      </w:r>
      <w:r>
        <w:rPr>
          <w:rFonts w:hint="eastAsia" w:ascii="仿宋" w:hAnsi="仿宋" w:eastAsia="仿宋"/>
          <w:sz w:val="24"/>
          <w:highlight w:val="yellow"/>
        </w:rPr>
        <w:t>体检服务医师具备医师资质和执业证书</w:t>
      </w:r>
      <w:r>
        <w:rPr>
          <w:rFonts w:hint="default" w:ascii="仿宋" w:hAnsi="仿宋" w:eastAsia="仿宋"/>
          <w:sz w:val="24"/>
          <w:highlight w:val="yellow"/>
        </w:rPr>
        <w:t>。</w:t>
      </w:r>
    </w:p>
    <w:p>
      <w:pPr>
        <w:ind w:firstLine="480" w:firstLineChars="200"/>
        <w:jc w:val="left"/>
        <w:rPr>
          <w:rFonts w:ascii="仿宋" w:hAnsi="仿宋" w:eastAsia="仿宋"/>
          <w:sz w:val="24"/>
          <w:highlight w:val="none"/>
        </w:rPr>
      </w:pPr>
      <w:r>
        <w:rPr>
          <w:rFonts w:hint="eastAsia" w:ascii="仿宋" w:hAnsi="仿宋" w:eastAsia="仿宋"/>
          <w:sz w:val="24"/>
          <w:highlight w:val="none"/>
          <w:lang w:val="en-US" w:eastAsia="zh-CN"/>
        </w:rPr>
        <w:t>8</w:t>
      </w:r>
      <w:r>
        <w:rPr>
          <w:rFonts w:ascii="仿宋" w:hAnsi="仿宋" w:eastAsia="仿宋"/>
          <w:sz w:val="24"/>
          <w:highlight w:val="none"/>
        </w:rPr>
        <w:t>.</w:t>
      </w:r>
      <w:r>
        <w:rPr>
          <w:rFonts w:hint="eastAsia" w:ascii="仿宋" w:hAnsi="仿宋" w:eastAsia="仿宋"/>
          <w:sz w:val="24"/>
          <w:highlight w:val="none"/>
          <w:lang w:val="en-US" w:eastAsia="zh-CN"/>
        </w:rPr>
        <w:t>采购需求响应程度（商务偏离表见附件1）</w:t>
      </w:r>
      <w:r>
        <w:rPr>
          <w:rFonts w:hint="eastAsia" w:ascii="仿宋" w:hAnsi="仿宋" w:eastAsia="仿宋"/>
          <w:sz w:val="24"/>
          <w:highlight w:val="none"/>
        </w:rPr>
        <w:t>；</w:t>
      </w:r>
    </w:p>
    <w:p>
      <w:pPr>
        <w:ind w:firstLine="480" w:firstLineChars="200"/>
        <w:jc w:val="left"/>
        <w:rPr>
          <w:rFonts w:ascii="仿宋" w:hAnsi="仿宋" w:eastAsia="仿宋"/>
          <w:b/>
          <w:bCs/>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w:t>
      </w:r>
      <w:r>
        <w:rPr>
          <w:rFonts w:hint="eastAsia" w:ascii="仿宋" w:hAnsi="仿宋" w:eastAsia="仿宋"/>
          <w:sz w:val="24"/>
          <w:highlight w:val="none"/>
          <w:lang w:val="en-US" w:eastAsia="zh-CN"/>
        </w:rPr>
        <w:t>体检服务方案</w:t>
      </w:r>
      <w:r>
        <w:rPr>
          <w:rFonts w:hint="eastAsia" w:ascii="仿宋" w:hAnsi="仿宋" w:eastAsia="仿宋"/>
          <w:sz w:val="24"/>
          <w:highlight w:val="none"/>
        </w:rPr>
        <w:t>；</w:t>
      </w:r>
    </w:p>
    <w:p>
      <w:pPr>
        <w:ind w:firstLine="480" w:firstLineChars="200"/>
        <w:rPr>
          <w:highlight w:val="none"/>
        </w:rPr>
      </w:pPr>
      <w:r>
        <w:rPr>
          <w:rFonts w:hint="eastAsia" w:ascii="仿宋" w:hAnsi="仿宋" w:eastAsia="仿宋"/>
          <w:sz w:val="24"/>
          <w:highlight w:val="none"/>
          <w:lang w:val="en-US" w:eastAsia="zh-CN"/>
        </w:rPr>
        <w:t>10</w:t>
      </w:r>
      <w:r>
        <w:rPr>
          <w:rFonts w:hint="eastAsia" w:ascii="仿宋" w:hAnsi="仿宋" w:eastAsia="仿宋"/>
          <w:sz w:val="24"/>
          <w:highlight w:val="none"/>
        </w:rPr>
        <w:t>.</w:t>
      </w:r>
      <w:r>
        <w:rPr>
          <w:rFonts w:hint="eastAsia" w:ascii="仿宋" w:hAnsi="仿宋" w:eastAsia="仿宋"/>
          <w:sz w:val="24"/>
          <w:highlight w:val="none"/>
          <w:lang w:val="en-US" w:eastAsia="zh-CN"/>
        </w:rPr>
        <w:t>应急预案</w:t>
      </w:r>
      <w:r>
        <w:rPr>
          <w:rFonts w:hint="eastAsia" w:ascii="仿宋" w:hAnsi="仿宋" w:eastAsia="仿宋"/>
          <w:sz w:val="24"/>
          <w:highlight w:val="none"/>
        </w:rPr>
        <w:t>；</w:t>
      </w:r>
    </w:p>
    <w:p>
      <w:pPr>
        <w:ind w:firstLine="480" w:firstLineChars="200"/>
        <w:jc w:val="left"/>
        <w:rPr>
          <w:rFonts w:hint="eastAsia" w:ascii="仿宋" w:hAnsi="仿宋" w:eastAsia="仿宋"/>
          <w:sz w:val="24"/>
          <w:lang w:eastAsia="zh-CN"/>
        </w:rPr>
      </w:pPr>
      <w:r>
        <w:rPr>
          <w:rFonts w:hint="eastAsia" w:ascii="仿宋" w:hAnsi="仿宋" w:eastAsia="仿宋"/>
          <w:sz w:val="24"/>
          <w:lang w:val="en-US" w:eastAsia="zh-CN"/>
        </w:rPr>
        <w:t>11</w:t>
      </w:r>
      <w:r>
        <w:rPr>
          <w:rFonts w:hint="eastAsia" w:ascii="仿宋" w:hAnsi="仿宋" w:eastAsia="仿宋"/>
          <w:sz w:val="24"/>
        </w:rPr>
        <w:t>.体检质量和服务保障情况</w:t>
      </w:r>
      <w:r>
        <w:rPr>
          <w:rFonts w:hint="eastAsia" w:ascii="仿宋" w:hAnsi="仿宋" w:eastAsia="仿宋"/>
          <w:sz w:val="24"/>
          <w:lang w:eastAsia="zh-CN"/>
        </w:rPr>
        <w:t>；</w:t>
      </w:r>
    </w:p>
    <w:p>
      <w:pPr>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12.服务年限；</w:t>
      </w:r>
    </w:p>
    <w:p>
      <w:pPr>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13.项目团队；</w:t>
      </w:r>
    </w:p>
    <w:p>
      <w:pPr>
        <w:ind w:firstLine="480" w:firstLineChars="200"/>
        <w:jc w:val="left"/>
        <w:rPr>
          <w:rFonts w:hint="eastAsia" w:ascii="仿宋" w:hAnsi="仿宋" w:eastAsia="仿宋" w:cs="Times New Roman"/>
          <w:sz w:val="24"/>
          <w:lang w:val="en-US" w:eastAsia="zh-CN"/>
        </w:rPr>
      </w:pPr>
      <w:r>
        <w:rPr>
          <w:rFonts w:hint="eastAsia" w:ascii="仿宋" w:hAnsi="仿宋" w:eastAsia="仿宋"/>
          <w:sz w:val="24"/>
          <w:lang w:val="en-US" w:eastAsia="zh-CN"/>
        </w:rPr>
        <w:t>14.</w:t>
      </w:r>
      <w:r>
        <w:rPr>
          <w:rFonts w:hint="eastAsia" w:ascii="仿宋" w:hAnsi="仿宋" w:eastAsia="仿宋" w:cs="Times New Roman"/>
          <w:sz w:val="24"/>
          <w:lang w:val="en-US" w:eastAsia="zh-CN"/>
        </w:rPr>
        <w:t>体检仪器设备情况；</w:t>
      </w:r>
    </w:p>
    <w:p>
      <w:pPr>
        <w:ind w:firstLine="480" w:firstLineChars="200"/>
        <w:jc w:val="left"/>
        <w:rPr>
          <w:rFonts w:hint="default" w:ascii="仿宋" w:hAnsi="仿宋" w:eastAsia="仿宋" w:cs="Times New Roman"/>
          <w:sz w:val="24"/>
          <w:lang w:val="en-US" w:eastAsia="zh-CN"/>
        </w:rPr>
      </w:pPr>
      <w:r>
        <w:rPr>
          <w:rFonts w:hint="eastAsia" w:ascii="仿宋" w:hAnsi="仿宋" w:eastAsia="仿宋" w:cs="Times New Roman"/>
          <w:sz w:val="24"/>
          <w:lang w:val="en-US" w:eastAsia="zh-CN"/>
        </w:rPr>
        <w:t>15.类似业绩；</w:t>
      </w:r>
    </w:p>
    <w:p>
      <w:pPr>
        <w:ind w:firstLine="480" w:firstLineChars="200"/>
        <w:jc w:val="left"/>
        <w:rPr>
          <w:rFonts w:hint="default" w:ascii="仿宋" w:hAnsi="仿宋" w:eastAsia="仿宋" w:cs="Times New Roman"/>
          <w:sz w:val="24"/>
          <w:lang w:val="en-US" w:eastAsia="zh-CN"/>
        </w:rPr>
      </w:pPr>
      <w:r>
        <w:rPr>
          <w:rFonts w:hint="eastAsia" w:ascii="仿宋" w:hAnsi="仿宋" w:eastAsia="仿宋" w:cs="Times New Roman"/>
          <w:sz w:val="24"/>
          <w:lang w:val="en-US" w:eastAsia="zh-CN"/>
        </w:rPr>
        <w:t>16.企业实力；</w:t>
      </w:r>
    </w:p>
    <w:p>
      <w:pPr>
        <w:ind w:firstLine="480" w:firstLineChars="200"/>
        <w:jc w:val="left"/>
        <w:rPr>
          <w:rFonts w:hint="default" w:ascii="仿宋" w:hAnsi="仿宋" w:eastAsia="仿宋" w:cs="Times New Roman"/>
          <w:sz w:val="24"/>
          <w:lang w:val="en-US" w:eastAsia="zh-CN"/>
        </w:rPr>
      </w:pPr>
      <w:r>
        <w:rPr>
          <w:rFonts w:hint="eastAsia" w:ascii="仿宋" w:hAnsi="仿宋" w:eastAsia="仿宋" w:cs="Times New Roman"/>
          <w:sz w:val="24"/>
          <w:lang w:val="en-US" w:eastAsia="zh-CN"/>
        </w:rPr>
        <w:t>17.增值服务。</w:t>
      </w:r>
    </w:p>
    <w:p>
      <w:pPr>
        <w:pStyle w:val="10"/>
        <w:ind w:firstLine="482" w:firstLineChars="200"/>
        <w:rPr>
          <w:rFonts w:ascii="仿宋" w:hAnsi="仿宋" w:eastAsia="仿宋" w:cs="仿宋_GB2312"/>
          <w:b/>
          <w:bCs/>
          <w:sz w:val="24"/>
          <w:szCs w:val="24"/>
        </w:rPr>
      </w:pPr>
      <w:r>
        <w:rPr>
          <w:rFonts w:hint="eastAsia" w:ascii="仿宋" w:hAnsi="仿宋" w:eastAsia="仿宋" w:cs="仿宋_GB2312"/>
          <w:b/>
          <w:bCs/>
          <w:sz w:val="24"/>
          <w:szCs w:val="24"/>
        </w:rPr>
        <w:t>（二）报价文件：</w:t>
      </w:r>
    </w:p>
    <w:p>
      <w:pPr>
        <w:spacing w:line="340" w:lineRule="exact"/>
        <w:ind w:firstLine="480" w:firstLineChars="200"/>
        <w:jc w:val="left"/>
        <w:rPr>
          <w:rFonts w:hint="eastAsia" w:ascii="仿宋" w:hAnsi="仿宋" w:eastAsia="仿宋"/>
          <w:sz w:val="24"/>
        </w:rPr>
      </w:pPr>
      <w:r>
        <w:rPr>
          <w:rFonts w:hint="eastAsia" w:ascii="仿宋" w:hAnsi="仿宋" w:eastAsia="仿宋"/>
          <w:sz w:val="24"/>
        </w:rPr>
        <w:t>投标报价清单含人工费、服务费、保险费、管理费、辅材费、食宿费、交通费、税费、撤场费等全部费用。投标报价需提供</w:t>
      </w:r>
      <w:r>
        <w:rPr>
          <w:rFonts w:hint="eastAsia" w:ascii="仿宋" w:hAnsi="仿宋" w:eastAsia="仿宋"/>
          <w:sz w:val="24"/>
          <w:highlight w:val="yellow"/>
        </w:rPr>
        <w:t>报价清单及单价</w:t>
      </w:r>
      <w:r>
        <w:rPr>
          <w:rFonts w:hint="eastAsia" w:ascii="仿宋" w:hAnsi="仿宋" w:eastAsia="仿宋"/>
          <w:sz w:val="24"/>
          <w:lang w:eastAsia="zh-CN"/>
        </w:rPr>
        <w:t>，</w:t>
      </w:r>
      <w:r>
        <w:rPr>
          <w:rFonts w:hint="eastAsia" w:ascii="仿宋" w:hAnsi="仿宋" w:eastAsia="仿宋"/>
          <w:sz w:val="24"/>
          <w:highlight w:val="yellow"/>
        </w:rPr>
        <w:t>高于采购预算视为无效报价。</w:t>
      </w:r>
      <w:r>
        <w:rPr>
          <w:rFonts w:hint="eastAsia" w:ascii="仿宋" w:hAnsi="仿宋" w:eastAsia="仿宋"/>
          <w:sz w:val="24"/>
        </w:rPr>
        <w:t>报价以人民币计，并以大写为准。报价应由法定代表人或其授权代表签字确认并加盖公章。投标报价清单见附件2；</w:t>
      </w:r>
    </w:p>
    <w:p>
      <w:pPr>
        <w:spacing w:line="340" w:lineRule="exact"/>
        <w:ind w:firstLine="480" w:firstLineChars="200"/>
        <w:jc w:val="left"/>
        <w:rPr>
          <w:rFonts w:hint="default" w:ascii="仿宋" w:hAnsi="仿宋" w:eastAsia="仿宋"/>
          <w:sz w:val="24"/>
          <w:highlight w:val="none"/>
        </w:rPr>
      </w:pPr>
      <w:r>
        <w:rPr>
          <w:rFonts w:hint="default" w:ascii="仿宋" w:hAnsi="仿宋" w:eastAsia="仿宋"/>
          <w:sz w:val="24"/>
          <w:highlight w:val="none"/>
        </w:rPr>
        <w:t>税费:本服务执行中相关的一切税费均由成交供应商负担。</w:t>
      </w:r>
    </w:p>
    <w:p>
      <w:pPr>
        <w:numPr>
          <w:ilvl w:val="0"/>
          <w:numId w:val="1"/>
        </w:numPr>
        <w:ind w:firstLine="482" w:firstLineChars="200"/>
        <w:rPr>
          <w:rFonts w:ascii="仿宋_GB2312" w:eastAsia="仿宋_GB2312"/>
          <w:b/>
          <w:sz w:val="24"/>
        </w:rPr>
      </w:pPr>
      <w:r>
        <w:rPr>
          <w:rFonts w:hint="eastAsia" w:ascii="仿宋_GB2312" w:eastAsia="仿宋_GB2312"/>
          <w:b/>
          <w:sz w:val="24"/>
        </w:rPr>
        <w:t>投标文件递交、开标时间</w:t>
      </w:r>
    </w:p>
    <w:p>
      <w:pPr>
        <w:ind w:firstLine="480" w:firstLineChars="200"/>
        <w:rPr>
          <w:rStyle w:val="18"/>
          <w:rFonts w:ascii="仿宋" w:hAnsi="仿宋" w:eastAsia="仿宋" w:cs="仿宋"/>
          <w:b w:val="0"/>
          <w:bCs/>
          <w:color w:val="000000"/>
          <w:kern w:val="0"/>
          <w:sz w:val="24"/>
          <w:shd w:val="clear" w:color="auto" w:fill="FFFFFF"/>
          <w:lang w:bidi="ar"/>
        </w:rPr>
      </w:pPr>
      <w:r>
        <w:rPr>
          <w:rStyle w:val="18"/>
          <w:rFonts w:hint="eastAsia" w:ascii="仿宋" w:hAnsi="仿宋" w:eastAsia="仿宋" w:cs="仿宋"/>
          <w:b w:val="0"/>
          <w:bCs/>
          <w:color w:val="000000"/>
          <w:kern w:val="0"/>
          <w:sz w:val="24"/>
          <w:shd w:val="clear" w:color="auto" w:fill="FFFFFF"/>
          <w:lang w:bidi="ar"/>
        </w:rPr>
        <w:t>1</w:t>
      </w:r>
      <w:r>
        <w:rPr>
          <w:rStyle w:val="18"/>
          <w:rFonts w:hint="eastAsia" w:ascii="仿宋" w:hAnsi="仿宋" w:eastAsia="仿宋" w:cs="仿宋"/>
          <w:b w:val="0"/>
          <w:bCs/>
          <w:color w:val="000000"/>
          <w:kern w:val="0"/>
          <w:sz w:val="24"/>
          <w:shd w:val="clear" w:color="auto" w:fill="FFFFFF"/>
          <w:lang w:eastAsia="zh-CN" w:bidi="ar"/>
        </w:rPr>
        <w:t>.</w:t>
      </w:r>
      <w:r>
        <w:rPr>
          <w:rStyle w:val="18"/>
          <w:rFonts w:hint="eastAsia" w:ascii="仿宋" w:hAnsi="仿宋" w:eastAsia="仿宋" w:cs="仿宋"/>
          <w:b w:val="0"/>
          <w:bCs/>
          <w:color w:val="000000"/>
          <w:kern w:val="0"/>
          <w:sz w:val="24"/>
          <w:shd w:val="clear" w:color="auto" w:fill="FFFFFF"/>
          <w:lang w:bidi="ar"/>
        </w:rPr>
        <w:t>投标文件投递截止时间：2023年</w:t>
      </w:r>
      <w:r>
        <w:rPr>
          <w:rStyle w:val="18"/>
          <w:rFonts w:hint="eastAsia" w:ascii="仿宋" w:hAnsi="仿宋" w:eastAsia="仿宋" w:cs="仿宋"/>
          <w:b w:val="0"/>
          <w:bCs/>
          <w:color w:val="000000"/>
          <w:kern w:val="0"/>
          <w:sz w:val="24"/>
          <w:shd w:val="clear" w:color="auto" w:fill="FFFFFF"/>
          <w:lang w:val="en-US" w:eastAsia="zh-CN" w:bidi="ar"/>
        </w:rPr>
        <w:t>9</w:t>
      </w:r>
      <w:r>
        <w:rPr>
          <w:rStyle w:val="18"/>
          <w:rFonts w:hint="eastAsia" w:ascii="仿宋" w:hAnsi="仿宋" w:eastAsia="仿宋" w:cs="仿宋"/>
          <w:b w:val="0"/>
          <w:bCs/>
          <w:color w:val="000000"/>
          <w:kern w:val="0"/>
          <w:sz w:val="24"/>
          <w:shd w:val="clear" w:color="auto" w:fill="FFFFFF"/>
          <w:lang w:bidi="ar"/>
        </w:rPr>
        <w:t>月2</w:t>
      </w:r>
      <w:r>
        <w:rPr>
          <w:rStyle w:val="18"/>
          <w:rFonts w:hint="eastAsia" w:ascii="仿宋" w:hAnsi="仿宋" w:eastAsia="仿宋" w:cs="仿宋"/>
          <w:b w:val="0"/>
          <w:bCs/>
          <w:color w:val="000000"/>
          <w:kern w:val="0"/>
          <w:sz w:val="24"/>
          <w:shd w:val="clear" w:color="auto" w:fill="FFFFFF"/>
          <w:lang w:val="en-US" w:eastAsia="zh-CN" w:bidi="ar"/>
        </w:rPr>
        <w:t>5</w:t>
      </w:r>
      <w:r>
        <w:rPr>
          <w:rStyle w:val="18"/>
          <w:rFonts w:hint="eastAsia" w:ascii="仿宋" w:hAnsi="仿宋" w:eastAsia="仿宋" w:cs="仿宋"/>
          <w:b w:val="0"/>
          <w:bCs/>
          <w:color w:val="000000"/>
          <w:kern w:val="0"/>
          <w:sz w:val="24"/>
          <w:shd w:val="clear" w:color="auto" w:fill="FFFFFF"/>
          <w:lang w:bidi="ar"/>
        </w:rPr>
        <w:t>日</w:t>
      </w:r>
      <w:r>
        <w:rPr>
          <w:rStyle w:val="18"/>
          <w:rFonts w:hint="eastAsia" w:ascii="仿宋" w:hAnsi="仿宋" w:eastAsia="仿宋" w:cs="仿宋"/>
          <w:b w:val="0"/>
          <w:bCs/>
          <w:color w:val="000000"/>
          <w:kern w:val="0"/>
          <w:sz w:val="24"/>
          <w:shd w:val="clear" w:color="auto" w:fill="FFFFFF"/>
          <w:lang w:val="en-US" w:eastAsia="zh-CN" w:bidi="ar"/>
        </w:rPr>
        <w:t>上午9:30</w:t>
      </w:r>
      <w:r>
        <w:rPr>
          <w:rStyle w:val="18"/>
          <w:rFonts w:hint="eastAsia" w:ascii="仿宋" w:hAnsi="仿宋" w:eastAsia="仿宋" w:cs="仿宋"/>
          <w:b w:val="0"/>
          <w:bCs/>
          <w:color w:val="000000"/>
          <w:kern w:val="0"/>
          <w:sz w:val="24"/>
          <w:shd w:val="clear" w:color="auto" w:fill="FFFFFF"/>
          <w:lang w:bidi="ar"/>
        </w:rPr>
        <w:t>（投标人迟到视为自动弃标）；</w:t>
      </w:r>
    </w:p>
    <w:p>
      <w:pPr>
        <w:ind w:firstLine="480" w:firstLineChars="200"/>
        <w:rPr>
          <w:rFonts w:ascii="仿宋_GB2312" w:eastAsia="仿宋_GB2312"/>
          <w:sz w:val="24"/>
        </w:rPr>
      </w:pPr>
      <w:r>
        <w:rPr>
          <w:rStyle w:val="18"/>
          <w:rFonts w:hint="eastAsia" w:ascii="仿宋" w:hAnsi="仿宋" w:eastAsia="仿宋" w:cs="仿宋"/>
          <w:b w:val="0"/>
          <w:bCs/>
          <w:color w:val="000000"/>
          <w:kern w:val="0"/>
          <w:sz w:val="24"/>
          <w:shd w:val="clear" w:color="auto" w:fill="FFFFFF"/>
          <w:lang w:bidi="ar"/>
        </w:rPr>
        <w:t>2</w:t>
      </w:r>
      <w:r>
        <w:rPr>
          <w:rStyle w:val="18"/>
          <w:rFonts w:hint="eastAsia" w:ascii="仿宋" w:hAnsi="仿宋" w:eastAsia="仿宋" w:cs="仿宋"/>
          <w:b w:val="0"/>
          <w:bCs/>
          <w:color w:val="000000"/>
          <w:kern w:val="0"/>
          <w:sz w:val="24"/>
          <w:shd w:val="clear" w:color="auto" w:fill="FFFFFF"/>
          <w:lang w:eastAsia="zh-CN" w:bidi="ar"/>
        </w:rPr>
        <w:t>.</w:t>
      </w:r>
      <w:r>
        <w:rPr>
          <w:rStyle w:val="18"/>
          <w:rFonts w:hint="eastAsia" w:ascii="仿宋" w:hAnsi="仿宋" w:eastAsia="仿宋" w:cs="仿宋"/>
          <w:b w:val="0"/>
          <w:bCs/>
          <w:color w:val="000000"/>
          <w:kern w:val="0"/>
          <w:sz w:val="24"/>
          <w:shd w:val="clear" w:color="auto" w:fill="FFFFFF"/>
          <w:lang w:bidi="ar"/>
        </w:rPr>
        <w:t>开标时间：2023年</w:t>
      </w:r>
      <w:r>
        <w:rPr>
          <w:rStyle w:val="18"/>
          <w:rFonts w:hint="eastAsia" w:ascii="仿宋" w:hAnsi="仿宋" w:eastAsia="仿宋" w:cs="仿宋"/>
          <w:b w:val="0"/>
          <w:bCs/>
          <w:color w:val="000000"/>
          <w:kern w:val="0"/>
          <w:sz w:val="24"/>
          <w:shd w:val="clear" w:color="auto" w:fill="FFFFFF"/>
          <w:lang w:val="en-US" w:eastAsia="zh-CN" w:bidi="ar"/>
        </w:rPr>
        <w:t>9</w:t>
      </w:r>
      <w:r>
        <w:rPr>
          <w:rStyle w:val="18"/>
          <w:rFonts w:hint="eastAsia" w:ascii="仿宋" w:hAnsi="仿宋" w:eastAsia="仿宋" w:cs="仿宋"/>
          <w:b w:val="0"/>
          <w:bCs/>
          <w:color w:val="000000"/>
          <w:kern w:val="0"/>
          <w:sz w:val="24"/>
          <w:shd w:val="clear" w:color="auto" w:fill="FFFFFF"/>
          <w:lang w:bidi="ar"/>
        </w:rPr>
        <w:t>月2</w:t>
      </w:r>
      <w:r>
        <w:rPr>
          <w:rStyle w:val="18"/>
          <w:rFonts w:hint="eastAsia" w:ascii="仿宋" w:hAnsi="仿宋" w:eastAsia="仿宋" w:cs="仿宋"/>
          <w:b w:val="0"/>
          <w:bCs/>
          <w:color w:val="000000"/>
          <w:kern w:val="0"/>
          <w:sz w:val="24"/>
          <w:shd w:val="clear" w:color="auto" w:fill="FFFFFF"/>
          <w:lang w:val="en-US" w:eastAsia="zh-CN" w:bidi="ar"/>
        </w:rPr>
        <w:t>5</w:t>
      </w:r>
      <w:r>
        <w:rPr>
          <w:rStyle w:val="18"/>
          <w:rFonts w:hint="eastAsia" w:ascii="仿宋" w:hAnsi="仿宋" w:eastAsia="仿宋" w:cs="仿宋"/>
          <w:b w:val="0"/>
          <w:bCs/>
          <w:color w:val="000000"/>
          <w:kern w:val="0"/>
          <w:sz w:val="24"/>
          <w:shd w:val="clear" w:color="auto" w:fill="FFFFFF"/>
          <w:lang w:bidi="ar"/>
        </w:rPr>
        <w:t>日上午9:</w:t>
      </w:r>
      <w:r>
        <w:rPr>
          <w:rStyle w:val="18"/>
          <w:rFonts w:hint="eastAsia" w:ascii="仿宋" w:hAnsi="仿宋" w:eastAsia="仿宋" w:cs="仿宋"/>
          <w:b w:val="0"/>
          <w:bCs/>
          <w:color w:val="000000"/>
          <w:kern w:val="0"/>
          <w:sz w:val="24"/>
          <w:shd w:val="clear" w:color="auto" w:fill="FFFFFF"/>
          <w:lang w:val="en-US" w:eastAsia="zh-CN" w:bidi="ar"/>
        </w:rPr>
        <w:t>3</w:t>
      </w:r>
      <w:r>
        <w:rPr>
          <w:rStyle w:val="18"/>
          <w:rFonts w:hint="eastAsia" w:ascii="仿宋" w:hAnsi="仿宋" w:eastAsia="仿宋" w:cs="仿宋"/>
          <w:b w:val="0"/>
          <w:bCs/>
          <w:color w:val="000000"/>
          <w:kern w:val="0"/>
          <w:sz w:val="24"/>
          <w:shd w:val="clear" w:color="auto" w:fill="FFFFFF"/>
          <w:lang w:bidi="ar"/>
        </w:rPr>
        <w:t>0；</w:t>
      </w:r>
      <w:bookmarkStart w:id="0" w:name="_GoBack"/>
      <w:bookmarkEnd w:id="0"/>
    </w:p>
    <w:p>
      <w:pPr>
        <w:ind w:firstLine="470" w:firstLineChars="196"/>
        <w:rPr>
          <w:rFonts w:ascii="仿宋_GB2312" w:eastAsia="仿宋_GB2312"/>
          <w:sz w:val="24"/>
        </w:rPr>
      </w:pPr>
      <w:r>
        <w:rPr>
          <w:rFonts w:hint="eastAsia" w:ascii="仿宋_GB2312" w:eastAsia="仿宋_GB2312"/>
          <w:bCs/>
          <w:sz w:val="24"/>
        </w:rPr>
        <w:t>3.开标地点：</w:t>
      </w:r>
      <w:r>
        <w:rPr>
          <w:rFonts w:hint="eastAsia" w:ascii="仿宋" w:hAnsi="仿宋" w:eastAsia="仿宋" w:cs="仿宋"/>
          <w:color w:val="000000"/>
          <w:kern w:val="0"/>
          <w:sz w:val="24"/>
          <w:shd w:val="clear" w:color="auto" w:fill="FFFFFF"/>
          <w:lang w:bidi="ar"/>
        </w:rPr>
        <w:t>湖州市吴兴区学士路1号湖州学院和谐餐厅2楼开标室；</w:t>
      </w:r>
    </w:p>
    <w:p>
      <w:pPr>
        <w:ind w:firstLine="470" w:firstLineChars="196"/>
        <w:rPr>
          <w:rFonts w:ascii="仿宋" w:hAnsi="仿宋" w:eastAsia="仿宋_GB2312" w:cs="仿宋"/>
          <w:color w:val="000000"/>
          <w:kern w:val="0"/>
          <w:sz w:val="24"/>
          <w:shd w:val="clear" w:color="auto" w:fill="FFFFFF"/>
          <w:lang w:bidi="ar"/>
        </w:rPr>
      </w:pPr>
      <w:r>
        <w:rPr>
          <w:rFonts w:hint="eastAsia" w:ascii="仿宋_GB2312" w:eastAsia="仿宋_GB2312"/>
          <w:sz w:val="24"/>
        </w:rPr>
        <w:t>4.联系人：徐老师  电话：（0572）2112239</w:t>
      </w:r>
    </w:p>
    <w:p>
      <w:pPr>
        <w:ind w:firstLine="720" w:firstLineChars="300"/>
        <w:rPr>
          <w:rFonts w:hint="default" w:ascii="仿宋_GB2312" w:eastAsia="仿宋_GB2312"/>
          <w:sz w:val="24"/>
          <w:highlight w:val="yellow"/>
          <w:lang w:val="en-US" w:eastAsia="zh-CN"/>
        </w:rPr>
      </w:pPr>
      <w:r>
        <w:rPr>
          <w:rFonts w:hint="eastAsia" w:ascii="仿宋_GB2312" w:eastAsia="仿宋_GB2312"/>
          <w:sz w:val="24"/>
          <w:highlight w:val="none"/>
        </w:rPr>
        <w:t>技术咨询联系人：</w:t>
      </w:r>
      <w:r>
        <w:rPr>
          <w:rFonts w:hint="eastAsia" w:ascii="仿宋_GB2312" w:eastAsia="仿宋_GB2312"/>
          <w:sz w:val="24"/>
          <w:highlight w:val="none"/>
          <w:lang w:val="en-US" w:eastAsia="zh-CN"/>
        </w:rPr>
        <w:t>王</w:t>
      </w:r>
      <w:r>
        <w:rPr>
          <w:rFonts w:hint="eastAsia" w:ascii="仿宋_GB2312" w:eastAsia="仿宋_GB2312"/>
          <w:sz w:val="24"/>
          <w:highlight w:val="none"/>
        </w:rPr>
        <w:t>老师 （0572）</w:t>
      </w:r>
      <w:r>
        <w:rPr>
          <w:rFonts w:hint="eastAsia" w:ascii="仿宋_GB2312" w:eastAsia="仿宋_GB2312"/>
          <w:sz w:val="24"/>
          <w:highlight w:val="none"/>
          <w:lang w:val="en-US" w:eastAsia="zh-CN"/>
        </w:rPr>
        <w:t>2321195</w:t>
      </w:r>
    </w:p>
    <w:p>
      <w:pPr>
        <w:ind w:firstLine="482" w:firstLineChars="200"/>
        <w:rPr>
          <w:rFonts w:ascii="仿宋_GB2312" w:eastAsia="仿宋_GB2312"/>
          <w:b/>
          <w:sz w:val="24"/>
        </w:rPr>
      </w:pPr>
      <w:r>
        <w:rPr>
          <w:rFonts w:hint="eastAsia" w:ascii="仿宋_GB2312" w:eastAsia="仿宋_GB2312"/>
          <w:b/>
          <w:sz w:val="24"/>
        </w:rPr>
        <w:t>五、中标办法</w:t>
      </w:r>
    </w:p>
    <w:p>
      <w:pPr>
        <w:ind w:firstLine="480" w:firstLineChars="200"/>
        <w:rPr>
          <w:rFonts w:ascii="仿宋_GB2312" w:eastAsia="仿宋_GB2312"/>
          <w:sz w:val="24"/>
        </w:rPr>
      </w:pPr>
      <w:r>
        <w:rPr>
          <w:rFonts w:hint="eastAsia" w:ascii="仿宋_GB2312" w:eastAsia="仿宋_GB2312"/>
          <w:sz w:val="24"/>
        </w:rPr>
        <w:t>根据</w:t>
      </w:r>
      <w:r>
        <w:rPr>
          <w:rFonts w:hint="eastAsia" w:ascii="仿宋_GB2312" w:eastAsia="仿宋_GB2312"/>
          <w:b/>
          <w:bCs/>
          <w:sz w:val="24"/>
        </w:rPr>
        <w:t>综合评标法</w:t>
      </w:r>
      <w:r>
        <w:rPr>
          <w:rFonts w:hint="eastAsia" w:ascii="仿宋_GB2312" w:eastAsia="仿宋_GB2312"/>
          <w:sz w:val="24"/>
        </w:rPr>
        <w:t>确定拟中标单位。</w:t>
      </w:r>
    </w:p>
    <w:p>
      <w:pPr>
        <w:ind w:firstLine="480" w:firstLineChars="200"/>
        <w:rPr>
          <w:rFonts w:ascii="仿宋_GB2312" w:eastAsia="仿宋_GB2312"/>
          <w:sz w:val="24"/>
        </w:rPr>
      </w:pPr>
      <w:r>
        <w:rPr>
          <w:rFonts w:hint="eastAsia" w:ascii="仿宋_GB2312" w:eastAsia="仿宋_GB2312"/>
          <w:sz w:val="24"/>
        </w:rPr>
        <w:t>注：如出现</w:t>
      </w:r>
      <w:r>
        <w:rPr>
          <w:rFonts w:hint="eastAsia" w:ascii="仿宋_GB2312" w:eastAsia="仿宋_GB2312"/>
          <w:b/>
          <w:bCs/>
          <w:sz w:val="24"/>
        </w:rPr>
        <w:t>中标人拒签合同，</w:t>
      </w:r>
      <w:r>
        <w:rPr>
          <w:rFonts w:hint="eastAsia" w:ascii="仿宋_GB2312" w:eastAsia="仿宋_GB2312"/>
          <w:sz w:val="24"/>
        </w:rPr>
        <w:t>招标人将根据实际情况，采用“按序递补”或“重新招标”的方式重新确定中标人。</w:t>
      </w:r>
    </w:p>
    <w:p>
      <w:pPr>
        <w:ind w:firstLine="482" w:firstLineChars="200"/>
        <w:rPr>
          <w:rFonts w:ascii="仿宋_GB2312" w:eastAsia="仿宋_GB2312"/>
          <w:b/>
          <w:sz w:val="24"/>
        </w:rPr>
      </w:pPr>
      <w:r>
        <w:rPr>
          <w:rFonts w:hint="eastAsia" w:ascii="仿宋" w:hAnsi="仿宋" w:eastAsia="仿宋"/>
          <w:b/>
          <w:sz w:val="24"/>
        </w:rPr>
        <w:t>六、订购及付款方式：</w:t>
      </w:r>
    </w:p>
    <w:p>
      <w:pPr>
        <w:spacing w:line="340" w:lineRule="exact"/>
        <w:ind w:firstLine="480" w:firstLineChars="200"/>
        <w:jc w:val="left"/>
        <w:rPr>
          <w:rFonts w:ascii="仿宋" w:hAnsi="仿宋" w:eastAsia="仿宋"/>
          <w:sz w:val="24"/>
        </w:rPr>
      </w:pPr>
      <w:r>
        <w:rPr>
          <w:rFonts w:hint="eastAsia" w:ascii="仿宋" w:hAnsi="仿宋" w:eastAsia="仿宋"/>
          <w:sz w:val="24"/>
        </w:rPr>
        <w:t>根据省财政厅《关于进一步发挥政府采购政策功能全力推动经济稳进提质的通知》（浙财采监【2022】3号）要求，制定如下付款方式：</w:t>
      </w:r>
    </w:p>
    <w:p>
      <w:pPr>
        <w:spacing w:line="340" w:lineRule="exact"/>
        <w:ind w:firstLine="480" w:firstLineChars="200"/>
        <w:jc w:val="left"/>
        <w:rPr>
          <w:rFonts w:ascii="仿宋" w:hAnsi="仿宋" w:eastAsia="仿宋"/>
          <w:sz w:val="24"/>
        </w:rPr>
      </w:pPr>
      <w:r>
        <w:rPr>
          <w:rFonts w:hint="eastAsia" w:ascii="仿宋" w:hAnsi="仿宋" w:eastAsia="仿宋"/>
          <w:sz w:val="24"/>
        </w:rPr>
        <w:t>（1）合同签订生效及具备实施条件后7日内支付预付款，即合同金额的40%；</w:t>
      </w:r>
    </w:p>
    <w:p>
      <w:pPr>
        <w:spacing w:line="340" w:lineRule="exact"/>
        <w:ind w:firstLine="480" w:firstLineChars="200"/>
        <w:jc w:val="left"/>
        <w:rPr>
          <w:rFonts w:ascii="仿宋" w:hAnsi="仿宋" w:eastAsia="仿宋"/>
          <w:sz w:val="24"/>
        </w:rPr>
      </w:pPr>
      <w:r>
        <w:rPr>
          <w:rFonts w:hint="eastAsia" w:ascii="仿宋" w:hAnsi="仿宋" w:eastAsia="仿宋"/>
          <w:sz w:val="24"/>
        </w:rPr>
        <w:t>（2）经采购人终验后支付至合同金额100%。</w:t>
      </w:r>
    </w:p>
    <w:p>
      <w:pPr>
        <w:spacing w:line="340" w:lineRule="exact"/>
        <w:ind w:firstLine="480" w:firstLineChars="200"/>
        <w:jc w:val="left"/>
        <w:rPr>
          <w:rFonts w:ascii="仿宋" w:hAnsi="仿宋" w:eastAsia="仿宋"/>
          <w:sz w:val="24"/>
        </w:rPr>
      </w:pPr>
      <w:r>
        <w:rPr>
          <w:rFonts w:hint="eastAsia" w:ascii="仿宋" w:hAnsi="仿宋" w:eastAsia="仿宋"/>
          <w:sz w:val="24"/>
        </w:rPr>
        <w:t>注：若中标供应商明确表示无需预付款或者主动要求降低预付款比例的，采购人可不适用前述规定。</w:t>
      </w:r>
    </w:p>
    <w:p>
      <w:pPr>
        <w:spacing w:line="340" w:lineRule="exact"/>
        <w:ind w:firstLine="482" w:firstLineChars="200"/>
        <w:jc w:val="left"/>
        <w:rPr>
          <w:rFonts w:ascii="仿宋" w:hAnsi="仿宋" w:eastAsia="仿宋"/>
          <w:b/>
          <w:bCs/>
          <w:sz w:val="24"/>
        </w:rPr>
      </w:pPr>
      <w:r>
        <w:rPr>
          <w:rFonts w:hint="eastAsia" w:ascii="仿宋" w:hAnsi="仿宋" w:eastAsia="仿宋"/>
          <w:b/>
          <w:bCs/>
          <w:sz w:val="24"/>
        </w:rPr>
        <w:t>七、服务时间及地点</w:t>
      </w:r>
    </w:p>
    <w:p>
      <w:pPr>
        <w:spacing w:line="340" w:lineRule="exact"/>
        <w:ind w:firstLine="480" w:firstLineChars="200"/>
        <w:jc w:val="left"/>
        <w:rPr>
          <w:rFonts w:hint="eastAsia" w:ascii="仿宋" w:hAnsi="仿宋" w:eastAsia="仿宋"/>
          <w:sz w:val="24"/>
          <w:lang w:val="en-US" w:eastAsia="zh-CN"/>
        </w:rPr>
      </w:pPr>
      <w:r>
        <w:rPr>
          <w:rFonts w:hint="eastAsia" w:ascii="仿宋" w:hAnsi="仿宋" w:eastAsia="仿宋"/>
          <w:sz w:val="24"/>
        </w:rPr>
        <w:t>活动时间：</w:t>
      </w:r>
      <w:r>
        <w:rPr>
          <w:rFonts w:hint="eastAsia" w:ascii="仿宋" w:hAnsi="仿宋" w:eastAsia="仿宋"/>
          <w:sz w:val="24"/>
          <w:lang w:val="en-US" w:eastAsia="zh-CN"/>
        </w:rPr>
        <w:t>由采购人具体指定</w:t>
      </w:r>
    </w:p>
    <w:p>
      <w:pPr>
        <w:spacing w:line="340" w:lineRule="exact"/>
        <w:ind w:firstLine="480" w:firstLineChars="200"/>
        <w:jc w:val="left"/>
        <w:rPr>
          <w:rFonts w:ascii="仿宋" w:hAnsi="仿宋" w:eastAsia="仿宋"/>
          <w:sz w:val="24"/>
        </w:rPr>
      </w:pPr>
      <w:r>
        <w:rPr>
          <w:rFonts w:hint="eastAsia" w:ascii="仿宋" w:hAnsi="仿宋" w:eastAsia="仿宋"/>
          <w:sz w:val="24"/>
        </w:rPr>
        <w:t>活动地点：湖州学院指定地点。</w:t>
      </w:r>
    </w:p>
    <w:p>
      <w:pPr>
        <w:ind w:firstLine="482" w:firstLineChars="200"/>
        <w:rPr>
          <w:rFonts w:ascii="仿宋_GB2312" w:eastAsia="仿宋_GB2312"/>
          <w:b/>
          <w:bCs/>
          <w:sz w:val="24"/>
        </w:rPr>
      </w:pPr>
      <w:r>
        <w:rPr>
          <w:rFonts w:hint="eastAsia" w:ascii="仿宋_GB2312" w:eastAsia="仿宋_GB2312"/>
          <w:b/>
          <w:bCs/>
          <w:sz w:val="24"/>
        </w:rPr>
        <w:t>八、其它事项</w:t>
      </w:r>
    </w:p>
    <w:p>
      <w:pPr>
        <w:spacing w:before="100"/>
        <w:ind w:firstLine="480" w:firstLineChars="200"/>
        <w:jc w:val="left"/>
        <w:rPr>
          <w:rFonts w:ascii="黑体" w:hAnsi="黑体" w:eastAsia="黑体" w:cs="黑体"/>
          <w:sz w:val="24"/>
        </w:rPr>
      </w:pPr>
      <w:r>
        <w:rPr>
          <w:rFonts w:hint="eastAsia" w:ascii="黑体" w:hAnsi="黑体" w:eastAsia="黑体" w:cs="黑体"/>
          <w:sz w:val="24"/>
        </w:rPr>
        <w:t>附件：1.评标办法及评分标准</w:t>
      </w:r>
    </w:p>
    <w:p>
      <w:pPr>
        <w:spacing w:before="100"/>
        <w:ind w:firstLine="1200" w:firstLineChars="500"/>
        <w:jc w:val="left"/>
        <w:rPr>
          <w:rFonts w:ascii="黑体" w:hAnsi="黑体" w:eastAsia="黑体" w:cs="黑体"/>
          <w:sz w:val="24"/>
        </w:rPr>
      </w:pPr>
      <w:r>
        <w:rPr>
          <w:rFonts w:hint="eastAsia" w:ascii="黑体" w:hAnsi="黑体" w:eastAsia="黑体" w:cs="黑体"/>
          <w:sz w:val="24"/>
        </w:rPr>
        <w:t>2.投标报价清单</w:t>
      </w:r>
    </w:p>
    <w:p>
      <w:pPr>
        <w:spacing w:before="100"/>
        <w:ind w:firstLine="6240" w:firstLineChars="2600"/>
        <w:rPr>
          <w:rFonts w:ascii="仿宋_GB2312" w:eastAsia="仿宋_GB2312"/>
          <w:sz w:val="24"/>
        </w:rPr>
      </w:pPr>
      <w:r>
        <w:rPr>
          <w:rFonts w:hint="eastAsia" w:ascii="仿宋_GB2312" w:eastAsia="仿宋_GB2312"/>
          <w:sz w:val="24"/>
        </w:rPr>
        <w:t xml:space="preserve">湖州学院采购事务中心                                     </w:t>
      </w:r>
    </w:p>
    <w:p>
      <w:pPr>
        <w:spacing w:before="100"/>
        <w:ind w:firstLine="480" w:firstLineChars="200"/>
        <w:jc w:val="right"/>
        <w:rPr>
          <w:rFonts w:ascii="仿宋_GB2312" w:eastAsia="仿宋_GB2312"/>
          <w:sz w:val="24"/>
        </w:rPr>
      </w:pPr>
      <w:r>
        <w:rPr>
          <w:rFonts w:hint="eastAsia" w:ascii="仿宋_GB2312" w:eastAsia="仿宋_GB2312"/>
          <w:sz w:val="24"/>
        </w:rPr>
        <w:t>2023年</w:t>
      </w:r>
      <w:r>
        <w:rPr>
          <w:rFonts w:hint="eastAsia" w:ascii="仿宋_GB2312" w:eastAsia="仿宋_GB2312"/>
          <w:sz w:val="24"/>
          <w:lang w:val="en-US" w:eastAsia="zh-CN"/>
        </w:rPr>
        <w:t>9</w:t>
      </w:r>
      <w:r>
        <w:rPr>
          <w:rFonts w:hint="eastAsia" w:ascii="仿宋_GB2312" w:eastAsia="仿宋_GB2312"/>
          <w:sz w:val="24"/>
        </w:rPr>
        <w:t>月1</w:t>
      </w:r>
      <w:r>
        <w:rPr>
          <w:rFonts w:hint="eastAsia" w:ascii="仿宋_GB2312" w:eastAsia="仿宋_GB2312"/>
          <w:sz w:val="24"/>
          <w:lang w:val="en-US" w:eastAsia="zh-CN"/>
        </w:rPr>
        <w:t>4</w:t>
      </w:r>
      <w:r>
        <w:rPr>
          <w:rFonts w:hint="eastAsia" w:ascii="仿宋_GB2312" w:eastAsia="仿宋_GB2312"/>
          <w:sz w:val="24"/>
        </w:rPr>
        <w:t>日</w:t>
      </w:r>
    </w:p>
    <w:p>
      <w:pPr>
        <w:spacing w:line="360" w:lineRule="auto"/>
        <w:jc w:val="center"/>
        <w:rPr>
          <w:rFonts w:ascii="宋体" w:hAnsi="宋体" w:cs="宋体"/>
          <w:b/>
          <w:sz w:val="32"/>
          <w:szCs w:val="32"/>
        </w:rPr>
        <w:sectPr>
          <w:headerReference r:id="rId3" w:type="default"/>
          <w:footerReference r:id="rId4" w:type="default"/>
          <w:pgSz w:w="11906" w:h="16838"/>
          <w:pgMar w:top="1134" w:right="1531" w:bottom="992" w:left="1531" w:header="851" w:footer="964" w:gutter="0"/>
          <w:cols w:space="720" w:num="1"/>
          <w:docGrid w:type="lines" w:linePitch="312" w:charSpace="0"/>
        </w:sectPr>
      </w:pPr>
    </w:p>
    <w:p>
      <w:pPr>
        <w:spacing w:line="360" w:lineRule="auto"/>
        <w:jc w:val="left"/>
        <w:rPr>
          <w:rFonts w:ascii="宋体" w:hAnsi="宋体" w:cs="宋体"/>
          <w:bCs/>
          <w:sz w:val="28"/>
          <w:szCs w:val="28"/>
        </w:rPr>
      </w:pPr>
      <w:r>
        <w:rPr>
          <w:rFonts w:hint="eastAsia" w:ascii="宋体" w:hAnsi="宋体" w:cs="宋体"/>
          <w:bCs/>
          <w:sz w:val="28"/>
          <w:szCs w:val="28"/>
        </w:rPr>
        <w:t>附件1：</w:t>
      </w:r>
    </w:p>
    <w:p>
      <w:pPr>
        <w:spacing w:line="360" w:lineRule="auto"/>
        <w:jc w:val="center"/>
        <w:rPr>
          <w:rFonts w:ascii="宋体" w:hAnsi="宋体" w:cs="宋体"/>
          <w:b/>
          <w:sz w:val="32"/>
          <w:szCs w:val="32"/>
        </w:rPr>
      </w:pPr>
      <w:r>
        <w:rPr>
          <w:rFonts w:hint="eastAsia" w:ascii="宋体" w:hAnsi="宋体" w:cs="宋体"/>
          <w:b/>
          <w:sz w:val="32"/>
          <w:szCs w:val="32"/>
        </w:rPr>
        <w:t>评标办法及评分标准</w:t>
      </w:r>
    </w:p>
    <w:p>
      <w:pPr>
        <w:spacing w:line="360" w:lineRule="auto"/>
        <w:ind w:firstLine="470" w:firstLineChars="196"/>
        <w:rPr>
          <w:rFonts w:ascii="仿宋_GB2312" w:eastAsia="仿宋_GB2312"/>
          <w:sz w:val="24"/>
        </w:rPr>
      </w:pPr>
      <w:r>
        <w:rPr>
          <w:rFonts w:hint="eastAsia" w:ascii="仿宋_GB2312" w:eastAsia="仿宋_GB2312"/>
          <w:sz w:val="24"/>
        </w:rPr>
        <w:t>为公正、公平、科学地选择中标人，根据《中华人民共和国政府采购法》等有关法律法规的规定，并结合本项目的实际，制定本办法。</w:t>
      </w:r>
    </w:p>
    <w:p>
      <w:pPr>
        <w:spacing w:line="360" w:lineRule="auto"/>
        <w:ind w:firstLine="472" w:firstLineChars="196"/>
        <w:rPr>
          <w:rFonts w:ascii="仿宋_GB2312" w:eastAsia="仿宋_GB2312"/>
          <w:b/>
          <w:bCs/>
          <w:sz w:val="24"/>
        </w:rPr>
      </w:pPr>
      <w:r>
        <w:rPr>
          <w:rFonts w:hint="eastAsia" w:ascii="仿宋_GB2312" w:eastAsia="仿宋_GB2312"/>
          <w:b/>
          <w:bCs/>
          <w:sz w:val="24"/>
        </w:rPr>
        <w:t>一、总则</w:t>
      </w:r>
    </w:p>
    <w:p>
      <w:pPr>
        <w:spacing w:line="360" w:lineRule="auto"/>
        <w:ind w:firstLine="470" w:firstLineChars="196"/>
        <w:rPr>
          <w:rFonts w:ascii="仿宋_GB2312" w:eastAsia="仿宋_GB2312"/>
          <w:sz w:val="24"/>
        </w:rPr>
      </w:pPr>
      <w:r>
        <w:rPr>
          <w:rFonts w:hint="eastAsia" w:ascii="仿宋_GB2312" w:eastAsia="仿宋_GB2312"/>
          <w:sz w:val="24"/>
        </w:rPr>
        <w:t>本次评标采用综合评分法，合格投标人的评标</w:t>
      </w:r>
      <w:r>
        <w:rPr>
          <w:rFonts w:hint="eastAsia" w:ascii="仿宋_GB2312" w:eastAsia="仿宋_GB2312"/>
          <w:sz w:val="24"/>
          <w:lang w:val="en-US" w:eastAsia="zh-CN"/>
        </w:rPr>
        <w:t>综合</w:t>
      </w:r>
      <w:r>
        <w:rPr>
          <w:rFonts w:hint="eastAsia" w:ascii="仿宋_GB2312" w:eastAsia="仿宋_GB2312"/>
          <w:sz w:val="24"/>
        </w:rPr>
        <w:t>得分为各项目汇总得分，按评标</w:t>
      </w:r>
      <w:r>
        <w:rPr>
          <w:rFonts w:hint="eastAsia" w:ascii="仿宋_GB2312" w:eastAsia="仿宋_GB2312"/>
          <w:sz w:val="24"/>
          <w:lang w:val="en-US" w:eastAsia="zh-CN"/>
        </w:rPr>
        <w:t>综合得</w:t>
      </w:r>
      <w:r>
        <w:rPr>
          <w:rFonts w:hint="eastAsia" w:ascii="仿宋_GB2312" w:eastAsia="仿宋_GB2312"/>
          <w:sz w:val="24"/>
        </w:rPr>
        <w:t>分由高到低顺序排列</w:t>
      </w:r>
      <w:r>
        <w:rPr>
          <w:rFonts w:hint="eastAsia" w:ascii="仿宋_GB2312" w:eastAsia="仿宋_GB2312"/>
          <w:sz w:val="24"/>
          <w:lang w:val="en-US" w:eastAsia="zh-CN"/>
        </w:rPr>
        <w:t>确定中标人</w:t>
      </w:r>
      <w:r>
        <w:rPr>
          <w:rFonts w:hint="eastAsia" w:ascii="仿宋_GB2312" w:eastAsia="仿宋_GB2312"/>
          <w:sz w:val="24"/>
          <w:lang w:eastAsia="zh-CN"/>
        </w:rPr>
        <w:t>；</w:t>
      </w:r>
      <w:r>
        <w:rPr>
          <w:rFonts w:hint="eastAsia" w:ascii="仿宋_GB2312" w:eastAsia="仿宋_GB2312"/>
          <w:sz w:val="24"/>
          <w:lang w:val="en-US" w:eastAsia="zh-CN"/>
        </w:rPr>
        <w:t>综合</w:t>
      </w:r>
      <w:r>
        <w:rPr>
          <w:rFonts w:hint="eastAsia" w:ascii="仿宋_GB2312" w:eastAsia="仿宋_GB2312"/>
          <w:sz w:val="24"/>
        </w:rPr>
        <w:t>得分相同的，</w:t>
      </w:r>
      <w:r>
        <w:rPr>
          <w:rFonts w:hint="eastAsia" w:ascii="仿宋_GB2312" w:eastAsia="仿宋_GB2312"/>
          <w:sz w:val="24"/>
          <w:lang w:val="en-US" w:eastAsia="zh-CN"/>
        </w:rPr>
        <w:t>按报价得分由高到低排序确定中标人。报价得分相同的，</w:t>
      </w:r>
      <w:r>
        <w:rPr>
          <w:rFonts w:hint="eastAsia" w:ascii="仿宋_GB2312" w:eastAsia="仿宋_GB2312"/>
          <w:sz w:val="24"/>
        </w:rPr>
        <w:t>按技术部分得分由高到低顺序排列确定中标人。本项目由采购人授权评标委员会直接确定排名第一的投标人为中标人。评分过程中采用四舍五入法，并保留小数2位。</w:t>
      </w:r>
    </w:p>
    <w:p>
      <w:pPr>
        <w:spacing w:line="360" w:lineRule="auto"/>
        <w:ind w:firstLine="470" w:firstLineChars="196"/>
        <w:rPr>
          <w:rFonts w:ascii="仿宋_GB2312" w:eastAsia="仿宋_GB2312"/>
          <w:sz w:val="24"/>
        </w:rPr>
      </w:pPr>
      <w:r>
        <w:rPr>
          <w:rFonts w:hint="eastAsia" w:ascii="仿宋_GB2312" w:eastAsia="仿宋_GB2312"/>
          <w:sz w:val="24"/>
        </w:rPr>
        <w:t>投标人评标综合得分=</w:t>
      </w:r>
      <w:r>
        <w:rPr>
          <w:rFonts w:hint="eastAsia" w:ascii="仿宋_GB2312" w:eastAsia="仿宋_GB2312"/>
          <w:sz w:val="24"/>
          <w:lang w:val="en-US" w:eastAsia="zh-CN"/>
        </w:rPr>
        <w:t>价格分+</w:t>
      </w:r>
      <w:r>
        <w:rPr>
          <w:rFonts w:hint="eastAsia" w:ascii="仿宋_GB2312" w:eastAsia="仿宋_GB2312"/>
          <w:sz w:val="24"/>
        </w:rPr>
        <w:t>技术、商务、资信及其他部分得分</w:t>
      </w:r>
    </w:p>
    <w:p>
      <w:pPr>
        <w:numPr>
          <w:ilvl w:val="0"/>
          <w:numId w:val="2"/>
        </w:numPr>
        <w:spacing w:line="360" w:lineRule="auto"/>
        <w:ind w:firstLine="472" w:firstLineChars="196"/>
        <w:rPr>
          <w:rFonts w:hint="eastAsia" w:ascii="仿宋_GB2312" w:eastAsia="仿宋_GB2312"/>
          <w:b/>
          <w:bCs/>
          <w:sz w:val="24"/>
        </w:rPr>
      </w:pPr>
      <w:r>
        <w:rPr>
          <w:rFonts w:hint="eastAsia" w:ascii="仿宋_GB2312" w:eastAsia="仿宋_GB2312"/>
          <w:b/>
          <w:bCs/>
          <w:sz w:val="24"/>
        </w:rPr>
        <w:t>评标内容及标准</w:t>
      </w:r>
    </w:p>
    <w:p>
      <w:pPr>
        <w:spacing w:line="360" w:lineRule="auto"/>
        <w:ind w:firstLine="472" w:firstLineChars="196"/>
        <w:rPr>
          <w:rFonts w:hint="eastAsia" w:ascii="仿宋_GB2312" w:eastAsia="仿宋_GB2312"/>
          <w:b/>
          <w:bCs/>
          <w:sz w:val="24"/>
        </w:rPr>
      </w:pPr>
      <w:r>
        <w:rPr>
          <w:rFonts w:hint="eastAsia" w:ascii="仿宋_GB2312" w:eastAsia="仿宋_GB2312"/>
          <w:b/>
          <w:bCs/>
          <w:sz w:val="24"/>
        </w:rPr>
        <w:t>1</w:t>
      </w:r>
      <w:r>
        <w:rPr>
          <w:rFonts w:hint="eastAsia" w:ascii="仿宋_GB2312" w:eastAsia="仿宋_GB2312"/>
          <w:b/>
          <w:bCs/>
          <w:sz w:val="24"/>
          <w:lang w:val="en-US" w:eastAsia="zh-CN"/>
        </w:rPr>
        <w:t>.</w:t>
      </w:r>
      <w:r>
        <w:rPr>
          <w:rFonts w:hint="eastAsia" w:ascii="仿宋_GB2312" w:eastAsia="仿宋_GB2312"/>
          <w:b/>
          <w:bCs/>
          <w:sz w:val="24"/>
        </w:rPr>
        <w:t>价格分（</w:t>
      </w:r>
      <w:r>
        <w:rPr>
          <w:rFonts w:hint="eastAsia" w:ascii="仿宋_GB2312" w:eastAsia="仿宋_GB2312"/>
          <w:b/>
          <w:bCs/>
          <w:sz w:val="24"/>
          <w:lang w:val="en-US" w:eastAsia="zh-CN"/>
        </w:rPr>
        <w:t>20</w:t>
      </w:r>
      <w:r>
        <w:rPr>
          <w:rFonts w:hint="eastAsia" w:ascii="仿宋_GB2312" w:eastAsia="仿宋_GB2312"/>
          <w:b/>
          <w:bCs/>
          <w:sz w:val="24"/>
        </w:rPr>
        <w:t>分）</w:t>
      </w:r>
    </w:p>
    <w:p>
      <w:pPr>
        <w:spacing w:line="360" w:lineRule="auto"/>
        <w:ind w:firstLine="470" w:firstLineChars="196"/>
        <w:rPr>
          <w:rFonts w:hint="eastAsia" w:ascii="仿宋_GB2312" w:eastAsia="仿宋_GB2312"/>
          <w:sz w:val="24"/>
        </w:rPr>
      </w:pPr>
      <w:r>
        <w:rPr>
          <w:rFonts w:hint="eastAsia" w:ascii="仿宋_GB2312" w:eastAsia="仿宋_GB2312"/>
          <w:sz w:val="24"/>
        </w:rPr>
        <w:t>价格分采用低价优先法计算，取所有有效投标人中投标价格最低的投标报价为评标基准价，其他投标人的价格分按照下列公式计算：</w:t>
      </w:r>
    </w:p>
    <w:p>
      <w:pPr>
        <w:spacing w:line="360" w:lineRule="auto"/>
        <w:ind w:firstLine="470" w:firstLineChars="196"/>
        <w:rPr>
          <w:rFonts w:hint="eastAsia" w:ascii="仿宋_GB2312" w:eastAsia="仿宋_GB2312"/>
          <w:sz w:val="24"/>
        </w:rPr>
      </w:pPr>
      <w:r>
        <w:rPr>
          <w:rFonts w:hint="eastAsia" w:ascii="仿宋_GB2312" w:eastAsia="仿宋_GB2312"/>
          <w:sz w:val="24"/>
        </w:rPr>
        <w:t>价格分=（评标基准价/投标报价）×</w:t>
      </w:r>
      <w:r>
        <w:rPr>
          <w:rFonts w:hint="eastAsia" w:ascii="仿宋_GB2312" w:eastAsia="仿宋_GB2312"/>
          <w:sz w:val="24"/>
          <w:lang w:val="en-US" w:eastAsia="zh-CN"/>
        </w:rPr>
        <w:t>2</w:t>
      </w:r>
      <w:r>
        <w:rPr>
          <w:rFonts w:hint="eastAsia" w:ascii="仿宋_GB2312" w:eastAsia="仿宋_GB2312"/>
          <w:sz w:val="24"/>
        </w:rPr>
        <w:t>0×100%</w:t>
      </w:r>
    </w:p>
    <w:p>
      <w:pPr>
        <w:spacing w:line="360" w:lineRule="auto"/>
        <w:ind w:firstLine="470" w:firstLineChars="196"/>
        <w:rPr>
          <w:rFonts w:hint="eastAsia" w:ascii="仿宋_GB2312" w:eastAsia="仿宋_GB2312"/>
          <w:sz w:val="24"/>
        </w:rPr>
      </w:pPr>
      <w:r>
        <w:rPr>
          <w:rFonts w:hint="eastAsia" w:ascii="仿宋_GB2312" w:eastAsia="仿宋_GB2312"/>
          <w:sz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72" w:firstLineChars="196"/>
        <w:rPr>
          <w:rFonts w:ascii="仿宋_GB2312" w:eastAsia="仿宋_GB2312"/>
          <w:b/>
          <w:bCs/>
          <w:sz w:val="24"/>
        </w:rPr>
      </w:pPr>
      <w:r>
        <w:rPr>
          <w:rFonts w:hint="eastAsia" w:ascii="仿宋_GB2312" w:eastAsia="仿宋_GB2312"/>
          <w:b/>
          <w:bCs/>
          <w:sz w:val="24"/>
          <w:lang w:val="en-US" w:eastAsia="zh-CN"/>
        </w:rPr>
        <w:t>2.</w:t>
      </w:r>
      <w:r>
        <w:rPr>
          <w:rFonts w:hint="eastAsia" w:ascii="仿宋_GB2312" w:eastAsia="仿宋_GB2312"/>
          <w:b/>
          <w:bCs/>
          <w:sz w:val="24"/>
        </w:rPr>
        <w:t>技术、商务分、资信及其他分</w:t>
      </w:r>
      <w:r>
        <w:rPr>
          <w:rFonts w:hint="eastAsia" w:ascii="仿宋_GB2312" w:eastAsia="仿宋_GB2312"/>
          <w:b/>
          <w:bCs/>
          <w:sz w:val="24"/>
          <w:highlight w:val="none"/>
        </w:rPr>
        <w:t>（</w:t>
      </w:r>
      <w:r>
        <w:rPr>
          <w:rFonts w:hint="eastAsia" w:ascii="仿宋_GB2312" w:eastAsia="仿宋_GB2312"/>
          <w:b/>
          <w:bCs/>
          <w:sz w:val="24"/>
          <w:highlight w:val="none"/>
          <w:lang w:val="en-US" w:eastAsia="zh-CN"/>
        </w:rPr>
        <w:t>80</w:t>
      </w:r>
      <w:r>
        <w:rPr>
          <w:rFonts w:hint="eastAsia" w:ascii="仿宋_GB2312" w:eastAsia="仿宋_GB2312"/>
          <w:b/>
          <w:bCs/>
          <w:sz w:val="24"/>
          <w:highlight w:val="none"/>
        </w:rPr>
        <w:t>分）</w:t>
      </w:r>
    </w:p>
    <w:p>
      <w:pPr>
        <w:spacing w:line="360" w:lineRule="auto"/>
        <w:ind w:firstLine="470" w:firstLineChars="196"/>
        <w:rPr>
          <w:rFonts w:ascii="仿宋_GB2312" w:eastAsia="仿宋_GB2312"/>
          <w:sz w:val="24"/>
        </w:rPr>
      </w:pPr>
      <w:r>
        <w:rPr>
          <w:rFonts w:hint="eastAsia" w:ascii="仿宋_GB2312" w:eastAsia="仿宋_GB2312"/>
          <w:sz w:val="24"/>
        </w:rPr>
        <w:t>技术、商务、资信及其他分按照评标委员会成员的独立评分结果汇总数的算术平均分计算，计算公式为:</w:t>
      </w:r>
    </w:p>
    <w:p>
      <w:pPr>
        <w:spacing w:line="360" w:lineRule="auto"/>
        <w:ind w:firstLine="470" w:firstLineChars="196"/>
        <w:rPr>
          <w:rFonts w:ascii="仿宋_GB2312" w:eastAsia="仿宋_GB2312"/>
          <w:sz w:val="24"/>
        </w:rPr>
      </w:pPr>
      <w:r>
        <w:rPr>
          <w:rFonts w:hint="eastAsia" w:ascii="仿宋_GB2312" w:eastAsia="仿宋_GB2312"/>
          <w:sz w:val="24"/>
        </w:rPr>
        <w:t>技术、商务、资信及其他分=评标委员会所有成员评分合计数/评标委员会组成人员数</w:t>
      </w:r>
    </w:p>
    <w:p>
      <w:pPr>
        <w:spacing w:line="360" w:lineRule="auto"/>
        <w:ind w:firstLine="470" w:firstLineChars="196"/>
        <w:rPr>
          <w:rFonts w:ascii="仿宋_GB2312" w:eastAsia="仿宋_GB2312"/>
          <w:sz w:val="24"/>
        </w:rPr>
        <w:sectPr>
          <w:pgSz w:w="11906" w:h="16838"/>
          <w:pgMar w:top="1134" w:right="1531" w:bottom="992" w:left="1531" w:header="851" w:footer="964" w:gutter="0"/>
          <w:cols w:space="720" w:num="1"/>
          <w:docGrid w:type="lines" w:linePitch="312" w:charSpace="0"/>
        </w:sectPr>
      </w:pPr>
    </w:p>
    <w:p>
      <w:pPr>
        <w:spacing w:line="360" w:lineRule="auto"/>
        <w:rPr>
          <w:rFonts w:ascii="仿宋_GB2312" w:eastAsia="仿宋_GB2312"/>
          <w:sz w:val="24"/>
        </w:rPr>
      </w:pPr>
      <w:r>
        <w:rPr>
          <w:rFonts w:hint="eastAsia" w:ascii="仿宋_GB2312" w:eastAsia="仿宋_GB2312"/>
          <w:sz w:val="24"/>
        </w:rPr>
        <w:t>评分表格式（技术、商务、资信及其他分，共</w:t>
      </w:r>
      <w:r>
        <w:rPr>
          <w:rFonts w:hint="eastAsia" w:ascii="仿宋_GB2312" w:eastAsia="仿宋_GB2312"/>
          <w:sz w:val="24"/>
          <w:lang w:val="en-US" w:eastAsia="zh-CN"/>
        </w:rPr>
        <w:t>80</w:t>
      </w:r>
      <w:r>
        <w:rPr>
          <w:rFonts w:hint="eastAsia" w:ascii="仿宋_GB2312" w:eastAsia="仿宋_GB2312"/>
          <w:sz w:val="24"/>
        </w:rPr>
        <w:t>分）</w:t>
      </w:r>
    </w:p>
    <w:tbl>
      <w:tblPr>
        <w:tblStyle w:val="15"/>
        <w:tblW w:w="9220" w:type="dxa"/>
        <w:jc w:val="center"/>
        <w:shd w:val="clear" w:color="auto" w:fill="FFFFFF"/>
        <w:tblLayout w:type="fixed"/>
        <w:tblCellMar>
          <w:top w:w="0" w:type="dxa"/>
          <w:left w:w="108" w:type="dxa"/>
          <w:bottom w:w="0" w:type="dxa"/>
          <w:right w:w="108" w:type="dxa"/>
        </w:tblCellMar>
      </w:tblPr>
      <w:tblGrid>
        <w:gridCol w:w="785"/>
        <w:gridCol w:w="1455"/>
        <w:gridCol w:w="6135"/>
        <w:gridCol w:w="845"/>
      </w:tblGrid>
      <w:tr>
        <w:tblPrEx>
          <w:shd w:val="clear" w:color="auto" w:fill="FFFFFF"/>
          <w:tblCellMar>
            <w:top w:w="0" w:type="dxa"/>
            <w:left w:w="108" w:type="dxa"/>
            <w:bottom w:w="0" w:type="dxa"/>
            <w:right w:w="108" w:type="dxa"/>
          </w:tblCellMar>
        </w:tblPrEx>
        <w:trPr>
          <w:trHeight w:val="588"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rPr>
            </w:pPr>
            <w:r>
              <w:rPr>
                <w:rFonts w:hint="eastAsia" w:ascii="宋体" w:hAnsi="宋体" w:eastAsia="宋体" w:cs="宋体"/>
                <w:b/>
                <w:bCs w:val="0"/>
                <w:color w:val="000000"/>
                <w:sz w:val="24"/>
              </w:rPr>
              <w:t>序号</w:t>
            </w:r>
          </w:p>
        </w:tc>
        <w:tc>
          <w:tcPr>
            <w:tcW w:w="1455"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rPr>
            </w:pPr>
            <w:r>
              <w:rPr>
                <w:rFonts w:hint="eastAsia" w:ascii="宋体" w:hAnsi="宋体" w:eastAsia="宋体" w:cs="宋体"/>
                <w:b/>
                <w:bCs w:val="0"/>
                <w:color w:val="000000"/>
                <w:sz w:val="24"/>
              </w:rPr>
              <w:t>评分项说明</w:t>
            </w:r>
          </w:p>
        </w:tc>
        <w:tc>
          <w:tcPr>
            <w:tcW w:w="6135"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rPr>
            </w:pPr>
            <w:r>
              <w:rPr>
                <w:rFonts w:hint="eastAsia" w:ascii="宋体" w:hAnsi="宋体" w:eastAsia="宋体" w:cs="宋体"/>
                <w:b/>
                <w:bCs w:val="0"/>
                <w:color w:val="000000"/>
                <w:sz w:val="24"/>
              </w:rPr>
              <w:t>评分标准</w:t>
            </w:r>
          </w:p>
        </w:tc>
        <w:tc>
          <w:tcPr>
            <w:tcW w:w="845"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lang w:eastAsia="zh-CN"/>
              </w:rPr>
            </w:pPr>
            <w:r>
              <w:rPr>
                <w:rFonts w:hint="eastAsia" w:ascii="宋体" w:hAnsi="宋体" w:cs="宋体"/>
                <w:b/>
                <w:bCs w:val="0"/>
                <w:color w:val="000000"/>
                <w:sz w:val="24"/>
                <w:lang w:eastAsia="zh-CN"/>
              </w:rPr>
              <w:t>分值</w:t>
            </w:r>
          </w:p>
        </w:tc>
      </w:tr>
      <w:tr>
        <w:tblPrEx>
          <w:tblCellMar>
            <w:top w:w="0" w:type="dxa"/>
            <w:left w:w="108" w:type="dxa"/>
            <w:bottom w:w="0" w:type="dxa"/>
            <w:right w:w="108" w:type="dxa"/>
          </w:tblCellMar>
        </w:tblPrEx>
        <w:trPr>
          <w:trHeight w:val="446" w:hRule="atLeast"/>
          <w:jc w:val="center"/>
        </w:trPr>
        <w:tc>
          <w:tcPr>
            <w:tcW w:w="9220" w:type="dxa"/>
            <w:gridSpan w:val="4"/>
            <w:tcBorders>
              <w:top w:val="nil"/>
              <w:left w:val="single" w:color="auto" w:sz="4" w:space="0"/>
              <w:bottom w:val="single" w:color="auto" w:sz="4" w:space="0"/>
              <w:right w:val="single" w:color="000000" w:sz="8" w:space="0"/>
            </w:tcBorders>
            <w:shd w:val="clear" w:color="auto" w:fill="auto"/>
            <w:noWrap w:val="0"/>
            <w:vAlign w:val="center"/>
          </w:tcPr>
          <w:p>
            <w:pPr>
              <w:pStyle w:val="8"/>
              <w:wordWrap w:val="0"/>
              <w:adjustRightInd w:val="0"/>
              <w:snapToGrid w:val="0"/>
              <w:jc w:val="center"/>
              <w:rPr>
                <w:rFonts w:hint="default" w:hAnsi="宋体" w:cs="宋体"/>
                <w:b/>
                <w:bCs/>
                <w:color w:val="000000"/>
                <w:sz w:val="24"/>
                <w:lang w:val="en-US" w:eastAsia="zh-CN"/>
              </w:rPr>
            </w:pPr>
            <w:r>
              <w:rPr>
                <w:rFonts w:hint="eastAsia" w:hAnsi="宋体" w:cs="宋体"/>
                <w:b/>
                <w:bCs/>
                <w:color w:val="000000"/>
                <w:sz w:val="24"/>
                <w:lang w:val="en-US" w:eastAsia="zh-CN"/>
              </w:rPr>
              <w:t>技术分（68分）</w:t>
            </w:r>
          </w:p>
        </w:tc>
      </w:tr>
      <w:tr>
        <w:tblPrEx>
          <w:tblCellMar>
            <w:top w:w="0" w:type="dxa"/>
            <w:left w:w="108" w:type="dxa"/>
            <w:bottom w:w="0" w:type="dxa"/>
            <w:right w:w="108" w:type="dxa"/>
          </w:tblCellMar>
        </w:tblPrEx>
        <w:trPr>
          <w:trHeight w:val="1604"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lang w:val="en-US" w:eastAsia="zh-CN"/>
              </w:rPr>
            </w:pPr>
            <w:r>
              <w:rPr>
                <w:rFonts w:hint="eastAsia" w:ascii="宋体" w:hAnsi="宋体" w:cs="宋体"/>
                <w:b/>
                <w:bCs w:val="0"/>
                <w:color w:val="000000"/>
                <w:sz w:val="24"/>
                <w:lang w:val="en-US" w:eastAsia="zh-CN"/>
              </w:rPr>
              <w:t>1</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宋体" w:hAnsi="宋体" w:eastAsia="宋体" w:cs="宋体"/>
                <w:b/>
                <w:bCs w:val="0"/>
                <w:color w:val="000000"/>
                <w:sz w:val="24"/>
                <w:lang w:val="en-US" w:eastAsia="zh-CN"/>
              </w:rPr>
            </w:pPr>
            <w:r>
              <w:rPr>
                <w:rFonts w:hint="eastAsia" w:ascii="宋体" w:hAnsi="宋体" w:cs="宋体"/>
                <w:b/>
                <w:bCs w:val="0"/>
                <w:color w:val="000000"/>
                <w:sz w:val="24"/>
                <w:lang w:val="en-US" w:eastAsia="zh-CN"/>
              </w:rPr>
              <w:t>采购需求的响应程度</w:t>
            </w:r>
          </w:p>
        </w:tc>
        <w:tc>
          <w:tcPr>
            <w:tcW w:w="613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ind w:firstLine="420" w:firstLineChars="200"/>
              <w:rPr>
                <w:rFonts w:hint="eastAsia" w:ascii="宋体" w:hAnsi="宋体" w:cs="宋体"/>
                <w:color w:val="000000"/>
                <w:sz w:val="21"/>
                <w:szCs w:val="21"/>
              </w:rPr>
            </w:pPr>
            <w:r>
              <w:rPr>
                <w:rFonts w:hint="eastAsia" w:ascii="宋体" w:hAnsi="宋体" w:cs="宋体"/>
                <w:color w:val="000000"/>
                <w:sz w:val="21"/>
                <w:szCs w:val="21"/>
              </w:rPr>
              <w:t>不符合（负偏离）采购要求成交注“▲”条款（不可偏离）的投标无效；</w:t>
            </w:r>
          </w:p>
          <w:p>
            <w:pPr>
              <w:keepNext w:val="0"/>
              <w:keepLines w:val="0"/>
              <w:widowControl/>
              <w:suppressLineNumbers w:val="0"/>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全部满足采购文件明确的</w:t>
            </w:r>
            <w:r>
              <w:rPr>
                <w:rFonts w:hint="eastAsia" w:ascii="宋体" w:hAnsi="宋体" w:cs="宋体"/>
                <w:color w:val="000000"/>
                <w:sz w:val="21"/>
                <w:szCs w:val="21"/>
                <w:lang w:val="en-US" w:eastAsia="zh-CN"/>
              </w:rPr>
              <w:t>采购要求</w:t>
            </w:r>
            <w:r>
              <w:rPr>
                <w:rFonts w:hint="eastAsia" w:ascii="宋体" w:hAnsi="宋体" w:cs="宋体"/>
                <w:color w:val="000000"/>
                <w:sz w:val="21"/>
                <w:szCs w:val="21"/>
              </w:rPr>
              <w:t>，得</w:t>
            </w:r>
            <w:r>
              <w:rPr>
                <w:rFonts w:hint="eastAsia" w:ascii="宋体" w:hAnsi="宋体" w:cs="宋体"/>
                <w:color w:val="000000"/>
                <w:sz w:val="21"/>
                <w:szCs w:val="21"/>
                <w:lang w:val="en-US" w:eastAsia="zh-CN"/>
              </w:rPr>
              <w:t>20</w:t>
            </w:r>
            <w:r>
              <w:rPr>
                <w:rFonts w:hint="eastAsia" w:ascii="宋体" w:hAnsi="宋体" w:cs="宋体"/>
                <w:color w:val="000000"/>
                <w:sz w:val="21"/>
                <w:szCs w:val="21"/>
              </w:rPr>
              <w:t>分；允许偏离的条款低于采购要求（负偏离）的，每项扣2分（</w:t>
            </w:r>
            <w:r>
              <w:rPr>
                <w:rFonts w:hint="eastAsia" w:ascii="宋体" w:hAnsi="宋体" w:cs="宋体"/>
                <w:color w:val="000000"/>
                <w:sz w:val="21"/>
                <w:szCs w:val="21"/>
                <w:lang w:val="en-US" w:eastAsia="zh-CN"/>
              </w:rPr>
              <w:t>20</w:t>
            </w:r>
            <w:r>
              <w:rPr>
                <w:rFonts w:hint="eastAsia" w:ascii="宋体" w:hAnsi="宋体" w:cs="宋体"/>
                <w:color w:val="000000"/>
                <w:sz w:val="21"/>
                <w:szCs w:val="21"/>
              </w:rPr>
              <w:t>分，扣完为止），允许偏离的条款低于采购要求（负偏离）达到</w:t>
            </w:r>
            <w:r>
              <w:rPr>
                <w:rFonts w:hint="eastAsia" w:ascii="宋体" w:hAnsi="宋体" w:cs="宋体"/>
                <w:color w:val="000000"/>
                <w:sz w:val="21"/>
                <w:szCs w:val="21"/>
                <w:lang w:val="en-US" w:eastAsia="zh-CN"/>
              </w:rPr>
              <w:t>6</w:t>
            </w:r>
            <w:r>
              <w:rPr>
                <w:rFonts w:hint="eastAsia" w:ascii="宋体" w:hAnsi="宋体" w:cs="宋体"/>
                <w:color w:val="000000"/>
                <w:sz w:val="21"/>
                <w:szCs w:val="21"/>
              </w:rPr>
              <w:t>条及以上的投标无效。</w:t>
            </w:r>
          </w:p>
          <w:p>
            <w:pPr>
              <w:keepNext w:val="0"/>
              <w:keepLines w:val="0"/>
              <w:widowControl/>
              <w:suppressLineNumbers w:val="0"/>
              <w:ind w:firstLine="422" w:firstLineChars="200"/>
              <w:jc w:val="both"/>
              <w:rPr>
                <w:rFonts w:hint="eastAsia" w:ascii="宋体" w:hAnsi="宋体" w:eastAsia="宋体" w:cs="宋体"/>
                <w:b/>
                <w:bCs/>
                <w:color w:val="000000"/>
                <w:sz w:val="24"/>
                <w:lang w:eastAsia="zh-CN"/>
              </w:rPr>
            </w:pPr>
            <w:r>
              <w:rPr>
                <w:rFonts w:hint="eastAsia" w:ascii="宋体" w:hAnsi="宋体" w:cs="宋体"/>
                <w:b/>
                <w:bCs/>
                <w:color w:val="000000"/>
                <w:sz w:val="21"/>
                <w:szCs w:val="21"/>
                <w:lang w:val="en-US" w:eastAsia="zh-CN"/>
              </w:rPr>
              <w:t>需提供商务偏离表并附相关材料，否则不得分。</w:t>
            </w:r>
          </w:p>
        </w:tc>
        <w:tc>
          <w:tcPr>
            <w:tcW w:w="84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8"/>
              <w:wordWrap w:val="0"/>
              <w:adjustRightInd w:val="0"/>
              <w:snapToGrid w:val="0"/>
              <w:jc w:val="center"/>
              <w:rPr>
                <w:rFonts w:hint="default" w:ascii="宋体" w:hAnsi="宋体" w:eastAsia="宋体" w:cs="宋体"/>
                <w:b/>
                <w:bCs/>
                <w:color w:val="000000"/>
                <w:sz w:val="24"/>
                <w:lang w:val="en-US" w:eastAsia="zh-CN"/>
              </w:rPr>
            </w:pPr>
            <w:r>
              <w:rPr>
                <w:rFonts w:hint="eastAsia" w:hAnsi="宋体" w:cs="宋体"/>
                <w:b/>
                <w:bCs/>
                <w:color w:val="000000"/>
                <w:sz w:val="24"/>
                <w:lang w:val="en-US" w:eastAsia="zh-CN"/>
              </w:rPr>
              <w:t>20分</w:t>
            </w:r>
          </w:p>
        </w:tc>
      </w:tr>
      <w:tr>
        <w:tblPrEx>
          <w:tblCellMar>
            <w:top w:w="0" w:type="dxa"/>
            <w:left w:w="108" w:type="dxa"/>
            <w:bottom w:w="0" w:type="dxa"/>
            <w:right w:w="108" w:type="dxa"/>
          </w:tblCellMar>
        </w:tblPrEx>
        <w:trPr>
          <w:trHeight w:val="2044"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lang w:val="en-US" w:eastAsia="zh-CN"/>
              </w:rPr>
            </w:pPr>
            <w:r>
              <w:rPr>
                <w:rFonts w:hint="eastAsia" w:ascii="宋体" w:hAnsi="宋体" w:cs="宋体"/>
                <w:b/>
                <w:bCs w:val="0"/>
                <w:color w:val="000000"/>
                <w:sz w:val="24"/>
                <w:lang w:val="en-US" w:eastAsia="zh-CN"/>
              </w:rPr>
              <w:t>2</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rPr>
            </w:pPr>
            <w:r>
              <w:rPr>
                <w:rFonts w:hint="eastAsia" w:ascii="宋体" w:hAnsi="宋体" w:eastAsia="宋体" w:cs="宋体"/>
                <w:b/>
                <w:bCs w:val="0"/>
                <w:color w:val="000000"/>
                <w:sz w:val="24"/>
                <w:lang w:val="en-US" w:eastAsia="zh-CN"/>
              </w:rPr>
              <w:t xml:space="preserve">体检服务方案 </w:t>
            </w:r>
          </w:p>
        </w:tc>
        <w:tc>
          <w:tcPr>
            <w:tcW w:w="6135"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widowControl/>
              <w:suppressLineNumbers w:val="0"/>
              <w:ind w:firstLine="420" w:firstLineChars="200"/>
              <w:jc w:val="left"/>
              <w:rPr>
                <w:rFonts w:hint="eastAsia" w:ascii="宋体" w:hAnsi="宋体" w:eastAsia="宋体" w:cs="宋体"/>
                <w:b/>
                <w:bCs/>
                <w:color w:val="000000"/>
                <w:sz w:val="24"/>
              </w:rPr>
            </w:pPr>
            <w:r>
              <w:rPr>
                <w:rFonts w:hint="eastAsia" w:ascii="宋体" w:hAnsi="宋体" w:eastAsia="宋体" w:cs="宋体"/>
                <w:color w:val="000000"/>
                <w:sz w:val="21"/>
                <w:szCs w:val="21"/>
                <w:lang w:val="en-US" w:eastAsia="zh-CN"/>
              </w:rPr>
              <w:t>体检方案包含（根据不同群体提供具有针对性的体检方案：包括医师人员情况、设备情况，体检服务流程、提交体检报告的时间、方案完备性等内容），根据供应商所提供的体检方案的内容和针对性，是否符合采购人的整体体检服务要求，整体规划是否科学、全面的，每一项不合理处扣 1-2 分，扣完为止。</w:t>
            </w:r>
          </w:p>
        </w:tc>
        <w:tc>
          <w:tcPr>
            <w:tcW w:w="84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8"/>
              <w:wordWrap w:val="0"/>
              <w:adjustRightInd w:val="0"/>
              <w:snapToGrid w:val="0"/>
              <w:jc w:val="center"/>
              <w:rPr>
                <w:rFonts w:hint="default" w:hAnsi="宋体" w:cs="宋体"/>
                <w:b/>
                <w:bCs/>
                <w:color w:val="000000"/>
                <w:sz w:val="24"/>
                <w:lang w:val="en-US" w:eastAsia="zh-CN"/>
              </w:rPr>
            </w:pPr>
            <w:r>
              <w:rPr>
                <w:rFonts w:hint="eastAsia" w:hAnsi="宋体" w:cs="宋体"/>
                <w:b/>
                <w:bCs/>
                <w:color w:val="000000"/>
                <w:sz w:val="24"/>
                <w:lang w:val="en-US" w:eastAsia="zh-CN"/>
              </w:rPr>
              <w:t>12分</w:t>
            </w:r>
          </w:p>
        </w:tc>
      </w:tr>
      <w:tr>
        <w:tblPrEx>
          <w:tblCellMar>
            <w:top w:w="0" w:type="dxa"/>
            <w:left w:w="108" w:type="dxa"/>
            <w:bottom w:w="0" w:type="dxa"/>
            <w:right w:w="108" w:type="dxa"/>
          </w:tblCellMar>
        </w:tblPrEx>
        <w:trPr>
          <w:trHeight w:val="2044"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宋体" w:hAnsi="宋体" w:cs="宋体"/>
                <w:b/>
                <w:bCs w:val="0"/>
                <w:color w:val="000000"/>
                <w:sz w:val="24"/>
                <w:lang w:val="en-US" w:eastAsia="zh-CN"/>
              </w:rPr>
            </w:pPr>
            <w:r>
              <w:rPr>
                <w:rFonts w:hint="eastAsia" w:cs="宋体"/>
                <w:b/>
                <w:bCs w:val="0"/>
                <w:color w:val="000000"/>
                <w:sz w:val="24"/>
                <w:lang w:val="en-US" w:eastAsia="zh-CN"/>
              </w:rPr>
              <w:t>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lang w:val="en-US" w:eastAsia="zh-CN"/>
              </w:rPr>
            </w:pPr>
            <w:r>
              <w:rPr>
                <w:rFonts w:hint="eastAsia" w:ascii="宋体" w:hAnsi="宋体" w:eastAsia="宋体" w:cs="宋体"/>
                <w:b/>
                <w:bCs w:val="0"/>
                <w:color w:val="000000"/>
                <w:sz w:val="24"/>
              </w:rPr>
              <w:t>应急预案</w:t>
            </w:r>
          </w:p>
        </w:tc>
        <w:tc>
          <w:tcPr>
            <w:tcW w:w="613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val="0"/>
                <w:bCs/>
                <w:color w:val="000000"/>
                <w:kern w:val="2"/>
                <w:sz w:val="21"/>
                <w:szCs w:val="21"/>
                <w:lang w:val="en-US" w:eastAsia="zh-CN" w:bidi="ar-SA"/>
              </w:rPr>
              <w:t>供应商提供针对本项目在现场过程中，设备故障、人员集中、排队等候时间长等可能引发的问题和突发、意外事故等应急预案。对服务现场可能发生的各类突发情况分析充分，应急预案可行，各类情况处理方案针对性好，得8分，存在缺陷的每处扣1分，扣完为止。</w:t>
            </w:r>
          </w:p>
        </w:tc>
        <w:tc>
          <w:tcPr>
            <w:tcW w:w="84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13"/>
              <w:adjustRightInd w:val="0"/>
              <w:snapToGrid w:val="0"/>
              <w:spacing w:after="0"/>
              <w:ind w:firstLine="0" w:firstLineChars="0"/>
              <w:jc w:val="center"/>
              <w:rPr>
                <w:rFonts w:hint="eastAsia" w:hAnsi="宋体" w:cs="宋体"/>
                <w:b/>
                <w:bCs/>
                <w:color w:val="000000"/>
                <w:sz w:val="24"/>
                <w:lang w:val="en-US" w:eastAsia="zh-CN"/>
              </w:rPr>
            </w:pPr>
            <w:r>
              <w:rPr>
                <w:rFonts w:hint="eastAsia" w:cs="宋体"/>
                <w:b/>
                <w:bCs w:val="0"/>
                <w:color w:val="000000"/>
                <w:sz w:val="24"/>
                <w:lang w:val="en-US" w:eastAsia="zh-CN"/>
              </w:rPr>
              <w:t>8分</w:t>
            </w:r>
          </w:p>
        </w:tc>
      </w:tr>
      <w:tr>
        <w:tblPrEx>
          <w:tblCellMar>
            <w:top w:w="0" w:type="dxa"/>
            <w:left w:w="108" w:type="dxa"/>
            <w:bottom w:w="0" w:type="dxa"/>
            <w:right w:w="108" w:type="dxa"/>
          </w:tblCellMar>
        </w:tblPrEx>
        <w:trPr>
          <w:trHeight w:val="539"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lang w:val="en-US" w:eastAsia="zh-CN"/>
              </w:rPr>
            </w:pPr>
            <w:r>
              <w:rPr>
                <w:rFonts w:hint="eastAsia" w:cs="宋体"/>
                <w:b/>
                <w:bCs w:val="0"/>
                <w:color w:val="000000"/>
                <w:sz w:val="24"/>
                <w:lang w:val="en-US" w:eastAsia="zh-CN"/>
              </w:rPr>
              <w:t>4</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rPr>
            </w:pPr>
            <w:r>
              <w:rPr>
                <w:rFonts w:hint="eastAsia" w:ascii="宋体" w:hAnsi="宋体" w:eastAsia="宋体" w:cs="宋体"/>
                <w:b/>
                <w:bCs w:val="0"/>
                <w:color w:val="000000"/>
                <w:sz w:val="24"/>
              </w:rPr>
              <w:t>体检质量和服务保障情况</w:t>
            </w:r>
          </w:p>
        </w:tc>
        <w:tc>
          <w:tcPr>
            <w:tcW w:w="6135"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1、体检服务保障能力：</w:t>
            </w:r>
          </w:p>
          <w:p>
            <w:pPr>
              <w:keepNext w:val="0"/>
              <w:keepLines w:val="0"/>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①体检过程中能有效开展健康宣教，接受健康咨询。有基本的便民设施的进行评分0-2分。</w:t>
            </w:r>
          </w:p>
          <w:p>
            <w:pPr>
              <w:keepNext w:val="0"/>
              <w:keepLines w:val="0"/>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②有专人负责疾病通知、危急值报告、传染病报告，对高危异常检查结果及时登记、通知并追踪诊治结果的进行评分0-2分。</w:t>
            </w:r>
          </w:p>
          <w:p>
            <w:pPr>
              <w:keepNext w:val="0"/>
              <w:keepLines w:val="0"/>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③对体检中发现的疾病，给出合理的诊疗建议，并建立一站式的体检就诊绿色通道，确保受检者可以通过体检中心尽快进行进一步检查和治疗的进行评分0-2分。</w:t>
            </w:r>
          </w:p>
          <w:p>
            <w:pPr>
              <w:keepNext w:val="0"/>
              <w:keepLines w:val="0"/>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2、体检报告及健康档案情况：</w:t>
            </w:r>
          </w:p>
          <w:p>
            <w:pPr>
              <w:keepNext w:val="0"/>
              <w:keepLines w:val="0"/>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①体检报告及时、完整、规范、准确，体检报告至少含有个人基本信息、各科体格检查记录等内容的进行评分0-2分。</w:t>
            </w:r>
          </w:p>
          <w:p>
            <w:pPr>
              <w:keepNext w:val="0"/>
              <w:keepLines w:val="0"/>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②能建立个体和群体的电子健康体检档案，并进行健康管理，及时追踪、分析、报告和评估健康情况和健康趋势的进行评分0-2分。</w:t>
            </w:r>
          </w:p>
        </w:tc>
        <w:tc>
          <w:tcPr>
            <w:tcW w:w="84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8"/>
              <w:wordWrap w:val="0"/>
              <w:adjustRightInd w:val="0"/>
              <w:snapToGrid w:val="0"/>
              <w:jc w:val="center"/>
              <w:rPr>
                <w:rFonts w:hint="default" w:hAnsi="宋体" w:cs="宋体"/>
                <w:b/>
                <w:bCs/>
                <w:color w:val="000000"/>
                <w:sz w:val="24"/>
                <w:lang w:val="en-US" w:eastAsia="zh-CN"/>
              </w:rPr>
            </w:pPr>
            <w:r>
              <w:rPr>
                <w:rFonts w:hint="eastAsia" w:hAnsi="宋体" w:cs="宋体"/>
                <w:b/>
                <w:bCs/>
                <w:color w:val="000000"/>
                <w:sz w:val="24"/>
                <w:lang w:val="en-US" w:eastAsia="zh-CN"/>
              </w:rPr>
              <w:t>10分</w:t>
            </w:r>
          </w:p>
        </w:tc>
      </w:tr>
      <w:tr>
        <w:tblPrEx>
          <w:tblCellMar>
            <w:top w:w="0" w:type="dxa"/>
            <w:left w:w="108" w:type="dxa"/>
            <w:bottom w:w="0" w:type="dxa"/>
            <w:right w:w="108" w:type="dxa"/>
          </w:tblCellMar>
        </w:tblPrEx>
        <w:trPr>
          <w:trHeight w:val="3492"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lang w:eastAsia="zh-CN"/>
              </w:rPr>
            </w:pPr>
            <w:r>
              <w:rPr>
                <w:rFonts w:hint="eastAsia" w:cs="宋体"/>
                <w:b/>
                <w:bCs w:val="0"/>
                <w:color w:val="000000"/>
                <w:sz w:val="24"/>
                <w:lang w:val="en-US" w:eastAsia="zh-CN"/>
              </w:rPr>
              <w:t>5</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rPr>
            </w:pPr>
            <w:r>
              <w:rPr>
                <w:rFonts w:hint="eastAsia" w:ascii="宋体" w:hAnsi="宋体" w:eastAsia="宋体" w:cs="宋体"/>
                <w:b/>
                <w:bCs w:val="0"/>
                <w:color w:val="000000"/>
                <w:sz w:val="24"/>
              </w:rPr>
              <w:t>服务年限</w:t>
            </w:r>
          </w:p>
        </w:tc>
        <w:tc>
          <w:tcPr>
            <w:tcW w:w="6135" w:type="dxa"/>
            <w:tcBorders>
              <w:top w:val="single" w:color="000000" w:sz="8" w:space="0"/>
              <w:left w:val="single" w:color="000000" w:sz="8" w:space="0"/>
              <w:bottom w:val="single" w:color="auto" w:sz="4" w:space="0"/>
              <w:right w:val="single" w:color="000000" w:sz="8" w:space="0"/>
            </w:tcBorders>
            <w:shd w:val="clear" w:color="auto" w:fill="auto"/>
            <w:noWrap w:val="0"/>
            <w:vAlign w:val="top"/>
          </w:tcPr>
          <w:p>
            <w:pPr>
              <w:keepNext w:val="0"/>
              <w:keepLines w:val="0"/>
              <w:pageBreakBefore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根据供应商体检中心的体检服务年限进行打分：</w:t>
            </w:r>
          </w:p>
          <w:p>
            <w:pPr>
              <w:keepNext w:val="0"/>
              <w:keepLines w:val="0"/>
              <w:pageBreakBefore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1、供应商体检中心具有4年及以上的体检服务经验，得6分；</w:t>
            </w:r>
          </w:p>
          <w:p>
            <w:pPr>
              <w:keepNext w:val="0"/>
              <w:keepLines w:val="0"/>
              <w:pageBreakBefore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2、供应商体检中心具有3年及以上的体检服务经验，得4分；</w:t>
            </w:r>
          </w:p>
          <w:p>
            <w:pPr>
              <w:keepNext w:val="0"/>
              <w:keepLines w:val="0"/>
              <w:pageBreakBefore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3、供应商体检中心具有2年及以上的体检服务经验，得2分；</w:t>
            </w:r>
          </w:p>
          <w:p>
            <w:pPr>
              <w:keepNext w:val="0"/>
              <w:keepLines w:val="0"/>
              <w:pageBreakBefore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4、其他情况</w:t>
            </w:r>
            <w:r>
              <w:rPr>
                <w:rFonts w:hint="eastAsia" w:ascii="宋体" w:hAnsi="宋体" w:cs="宋体"/>
                <w:b w:val="0"/>
                <w:bCs/>
                <w:color w:val="000000"/>
                <w:kern w:val="2"/>
                <w:sz w:val="21"/>
                <w:szCs w:val="21"/>
                <w:lang w:val="en-US" w:eastAsia="zh-CN" w:bidi="ar-SA"/>
              </w:rPr>
              <w:t>不得分</w:t>
            </w:r>
            <w:r>
              <w:rPr>
                <w:rFonts w:hint="eastAsia" w:ascii="宋体" w:hAnsi="宋体" w:eastAsia="宋体" w:cs="宋体"/>
                <w:b w:val="0"/>
                <w:bCs/>
                <w:color w:val="000000"/>
                <w:kern w:val="2"/>
                <w:sz w:val="21"/>
                <w:szCs w:val="21"/>
                <w:lang w:val="en-US" w:eastAsia="zh-CN" w:bidi="ar-SA"/>
              </w:rPr>
              <w:t>。</w:t>
            </w:r>
          </w:p>
          <w:p>
            <w:pPr>
              <w:keepNext w:val="0"/>
              <w:keepLines w:val="0"/>
              <w:pageBreakBefore w:val="0"/>
              <w:kinsoku/>
              <w:wordWrap w:val="0"/>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bCs w:val="0"/>
                <w:color w:val="000000"/>
                <w:kern w:val="2"/>
                <w:sz w:val="21"/>
                <w:szCs w:val="21"/>
                <w:lang w:val="en-US" w:eastAsia="zh-CN" w:bidi="ar-SA"/>
              </w:rPr>
              <w:t>需提供体检中心成立年限证明，如设立体检中心的卫生局批复文件等证明。</w:t>
            </w:r>
          </w:p>
        </w:tc>
        <w:tc>
          <w:tcPr>
            <w:tcW w:w="845"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pPr>
              <w:wordWrap w:val="0"/>
              <w:adjustRightInd w:val="0"/>
              <w:snapToGrid w:val="0"/>
              <w:jc w:val="center"/>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6分</w:t>
            </w:r>
          </w:p>
        </w:tc>
      </w:tr>
      <w:tr>
        <w:tblPrEx>
          <w:tblCellMar>
            <w:top w:w="0" w:type="dxa"/>
            <w:left w:w="108" w:type="dxa"/>
            <w:bottom w:w="0" w:type="dxa"/>
            <w:right w:w="108" w:type="dxa"/>
          </w:tblCellMar>
        </w:tblPrEx>
        <w:trPr>
          <w:trHeight w:val="3492"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cs="宋体"/>
                <w:b/>
                <w:bCs w:val="0"/>
                <w:color w:val="000000"/>
                <w:sz w:val="24"/>
                <w:lang w:val="en-US" w:eastAsia="zh-CN"/>
              </w:rPr>
            </w:pPr>
            <w:r>
              <w:rPr>
                <w:rFonts w:hint="eastAsia" w:cs="宋体"/>
                <w:b/>
                <w:bCs w:val="0"/>
                <w:color w:val="000000"/>
                <w:sz w:val="24"/>
                <w:lang w:val="en-US" w:eastAsia="zh-CN"/>
              </w:rPr>
              <w:t>6</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rPr>
            </w:pPr>
            <w:r>
              <w:rPr>
                <w:rFonts w:hint="eastAsia" w:ascii="宋体" w:hAnsi="宋体" w:eastAsia="宋体" w:cs="宋体"/>
                <w:b/>
                <w:bCs w:val="0"/>
                <w:color w:val="000000"/>
                <w:sz w:val="24"/>
              </w:rPr>
              <w:t>项目团队</w:t>
            </w:r>
          </w:p>
        </w:tc>
        <w:tc>
          <w:tcPr>
            <w:tcW w:w="6135"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根据其投入的技术力量人员数量、中高级职称比例的情况、专业组成的情况酌情打分。</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000000"/>
                <w:sz w:val="24"/>
              </w:rPr>
            </w:pPr>
            <w:r>
              <w:rPr>
                <w:rFonts w:hint="eastAsia" w:ascii="宋体" w:hAnsi="宋体" w:eastAsia="宋体" w:cs="宋体"/>
                <w:b/>
                <w:bCs w:val="0"/>
                <w:color w:val="000000"/>
                <w:kern w:val="2"/>
                <w:sz w:val="21"/>
                <w:szCs w:val="21"/>
                <w:lang w:val="en-US" w:eastAsia="zh-CN" w:bidi="ar-SA"/>
              </w:rPr>
              <w:t>需提供相关人员的职称证书或电子执业注期地等职称证明材料，及社保证明或聘用证明等材料，不提供此项不得分。合同签订前需与采购人确定提供参与体检医生名单。</w:t>
            </w:r>
          </w:p>
        </w:tc>
        <w:tc>
          <w:tcPr>
            <w:tcW w:w="845"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pPr>
              <w:widowControl/>
              <w:adjustRightInd w:val="0"/>
              <w:snapToGrid w:val="0"/>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6分</w:t>
            </w:r>
          </w:p>
        </w:tc>
      </w:tr>
      <w:tr>
        <w:tblPrEx>
          <w:tblCellMar>
            <w:top w:w="0" w:type="dxa"/>
            <w:left w:w="108" w:type="dxa"/>
            <w:bottom w:w="0" w:type="dxa"/>
            <w:right w:w="108" w:type="dxa"/>
          </w:tblCellMar>
        </w:tblPrEx>
        <w:trPr>
          <w:trHeight w:val="3492"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cs="宋体"/>
                <w:b/>
                <w:bCs w:val="0"/>
                <w:color w:val="000000"/>
                <w:sz w:val="24"/>
                <w:lang w:val="en-US" w:eastAsia="zh-CN"/>
              </w:rPr>
            </w:pPr>
            <w:r>
              <w:rPr>
                <w:rFonts w:hint="eastAsia" w:cs="宋体"/>
                <w:b/>
                <w:bCs w:val="0"/>
                <w:color w:val="000000"/>
                <w:sz w:val="24"/>
                <w:lang w:val="en-US" w:eastAsia="zh-CN"/>
              </w:rPr>
              <w:t>7</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rPr>
            </w:pPr>
            <w:r>
              <w:rPr>
                <w:rFonts w:hint="eastAsia"/>
                <w:b/>
                <w:bCs w:val="0"/>
                <w:sz w:val="24"/>
              </w:rPr>
              <w:t>体检仪器设备情况</w:t>
            </w:r>
          </w:p>
        </w:tc>
        <w:tc>
          <w:tcPr>
            <w:tcW w:w="6135"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根据其投入的设备的知名度、科学性、安全性和先进性酌情打分。</w:t>
            </w:r>
          </w:p>
          <w:p>
            <w:pPr>
              <w:pStyle w:val="13"/>
              <w:keepNext w:val="0"/>
              <w:keepLines w:val="0"/>
              <w:pageBreakBefore w:val="0"/>
              <w:widowControl w:val="0"/>
              <w:kinsoku/>
              <w:wordWrap/>
              <w:overflowPunct/>
              <w:topLinePunct w:val="0"/>
              <w:autoSpaceDE/>
              <w:autoSpaceDN/>
              <w:bidi w:val="0"/>
              <w:adjustRightInd w:val="0"/>
              <w:snapToGrid w:val="0"/>
              <w:spacing w:after="0"/>
              <w:ind w:firstLine="422" w:firstLineChars="200"/>
              <w:textAlignment w:val="auto"/>
              <w:rPr>
                <w:rFonts w:hint="eastAsia" w:ascii="宋体" w:hAnsi="宋体" w:eastAsia="宋体" w:cs="宋体"/>
                <w:b/>
                <w:bCs/>
                <w:color w:val="000000"/>
                <w:sz w:val="24"/>
              </w:rPr>
            </w:pPr>
            <w:r>
              <w:rPr>
                <w:rFonts w:hint="eastAsia" w:ascii="宋体" w:hAnsi="宋体" w:eastAsia="宋体" w:cs="宋体"/>
                <w:b/>
                <w:bCs w:val="0"/>
                <w:color w:val="000000"/>
                <w:kern w:val="2"/>
                <w:sz w:val="21"/>
                <w:szCs w:val="21"/>
                <w:lang w:val="en-US" w:eastAsia="zh-CN" w:bidi="ar-SA"/>
              </w:rPr>
              <w:t>自有设备提供发票复印件加盖公章，租赁设备提供合同复印件加盖公章，以及大巴车外部和内部环境照片，不提供不得分。</w:t>
            </w:r>
          </w:p>
        </w:tc>
        <w:tc>
          <w:tcPr>
            <w:tcW w:w="845"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pPr>
              <w:widowControl/>
              <w:adjustRightInd w:val="0"/>
              <w:snapToGrid w:val="0"/>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6分</w:t>
            </w:r>
          </w:p>
        </w:tc>
      </w:tr>
      <w:tr>
        <w:tblPrEx>
          <w:tblCellMar>
            <w:top w:w="0" w:type="dxa"/>
            <w:left w:w="108" w:type="dxa"/>
            <w:bottom w:w="0" w:type="dxa"/>
            <w:right w:w="108" w:type="dxa"/>
          </w:tblCellMar>
        </w:tblPrEx>
        <w:trPr>
          <w:trHeight w:val="1167" w:hRule="atLeast"/>
          <w:jc w:val="center"/>
        </w:trPr>
        <w:tc>
          <w:tcPr>
            <w:tcW w:w="92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ordWrap w:val="0"/>
              <w:adjustRightInd w:val="0"/>
              <w:snapToGrid w:val="0"/>
              <w:jc w:val="center"/>
              <w:rPr>
                <w:rFonts w:hint="default" w:cs="宋体"/>
                <w:b/>
                <w:color w:val="000000"/>
                <w:sz w:val="24"/>
                <w:highlight w:val="none"/>
                <w:lang w:val="en-US" w:eastAsia="zh-CN"/>
              </w:rPr>
            </w:pPr>
            <w:r>
              <w:rPr>
                <w:rFonts w:hint="eastAsia" w:cs="宋体"/>
                <w:b/>
                <w:color w:val="000000"/>
                <w:sz w:val="24"/>
                <w:highlight w:val="none"/>
                <w:lang w:val="en-US" w:eastAsia="zh-CN"/>
              </w:rPr>
              <w:t>商务、资信分（12分）</w:t>
            </w:r>
          </w:p>
        </w:tc>
      </w:tr>
      <w:tr>
        <w:tblPrEx>
          <w:tblCellMar>
            <w:top w:w="0" w:type="dxa"/>
            <w:left w:w="108" w:type="dxa"/>
            <w:bottom w:w="0" w:type="dxa"/>
            <w:right w:w="108" w:type="dxa"/>
          </w:tblCellMar>
        </w:tblPrEx>
        <w:trPr>
          <w:trHeight w:val="1167"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lang w:eastAsia="zh-CN"/>
              </w:rPr>
            </w:pPr>
            <w:r>
              <w:rPr>
                <w:rFonts w:hint="eastAsia" w:cs="宋体"/>
                <w:b/>
                <w:bCs w:val="0"/>
                <w:color w:val="000000"/>
                <w:sz w:val="24"/>
                <w:lang w:val="en-US" w:eastAsia="zh-CN"/>
              </w:rPr>
              <w:t>8</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rPr>
            </w:pPr>
            <w:r>
              <w:rPr>
                <w:rFonts w:hint="eastAsia" w:ascii="宋体" w:hAnsi="宋体" w:eastAsia="宋体" w:cs="宋体"/>
                <w:b/>
                <w:bCs w:val="0"/>
                <w:color w:val="000000"/>
                <w:sz w:val="24"/>
              </w:rPr>
              <w:t>类似业绩</w:t>
            </w:r>
          </w:p>
        </w:tc>
        <w:tc>
          <w:tcPr>
            <w:tcW w:w="613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供应商提供20</w:t>
            </w:r>
            <w:r>
              <w:rPr>
                <w:rFonts w:hint="eastAsia" w:ascii="宋体" w:hAnsi="宋体" w:cs="宋体"/>
                <w:b w:val="0"/>
                <w:bCs/>
                <w:color w:val="000000"/>
                <w:kern w:val="2"/>
                <w:sz w:val="21"/>
                <w:szCs w:val="21"/>
                <w:lang w:val="en-US" w:eastAsia="zh-CN" w:bidi="ar-SA"/>
              </w:rPr>
              <w:t>20</w:t>
            </w:r>
            <w:r>
              <w:rPr>
                <w:rFonts w:hint="eastAsia" w:ascii="宋体" w:hAnsi="宋体" w:eastAsia="宋体" w:cs="宋体"/>
                <w:b w:val="0"/>
                <w:bCs/>
                <w:color w:val="000000"/>
                <w:kern w:val="2"/>
                <w:sz w:val="21"/>
                <w:szCs w:val="21"/>
                <w:lang w:val="en-US" w:eastAsia="zh-CN" w:bidi="ar-SA"/>
              </w:rPr>
              <w:t>年1月1日以来完成同类型项目的业绩，每提供1个得1分，最高得</w:t>
            </w:r>
            <w:r>
              <w:rPr>
                <w:rFonts w:hint="eastAsia" w:ascii="宋体" w:hAnsi="宋体" w:cs="宋体"/>
                <w:b w:val="0"/>
                <w:bCs/>
                <w:color w:val="000000"/>
                <w:kern w:val="2"/>
                <w:sz w:val="21"/>
                <w:szCs w:val="21"/>
                <w:lang w:val="en-US" w:eastAsia="zh-CN" w:bidi="ar-SA"/>
              </w:rPr>
              <w:t>3</w:t>
            </w:r>
            <w:r>
              <w:rPr>
                <w:rFonts w:hint="eastAsia" w:ascii="宋体" w:hAnsi="宋体" w:eastAsia="宋体" w:cs="宋体"/>
                <w:b w:val="0"/>
                <w:bCs/>
                <w:color w:val="000000"/>
                <w:kern w:val="2"/>
                <w:sz w:val="21"/>
                <w:szCs w:val="21"/>
                <w:lang w:val="en-US" w:eastAsia="zh-CN" w:bidi="ar-SA"/>
              </w:rPr>
              <w:t>分。</w:t>
            </w:r>
          </w:p>
          <w:p>
            <w:pPr>
              <w:keepNext w:val="0"/>
              <w:keepLines w:val="0"/>
              <w:pageBreakBefore w:val="0"/>
              <w:kinsoku/>
              <w:wordWrap w:val="0"/>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bCs w:val="0"/>
                <w:color w:val="000000"/>
                <w:kern w:val="2"/>
                <w:sz w:val="21"/>
                <w:szCs w:val="21"/>
                <w:lang w:val="en-US" w:eastAsia="zh-CN" w:bidi="ar-SA"/>
              </w:rPr>
              <w:t>供应商需提供合同复印件或发票或中标通知书复印件，不提供证明材料不得分。</w:t>
            </w:r>
          </w:p>
        </w:tc>
        <w:tc>
          <w:tcPr>
            <w:tcW w:w="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ordWrap w:val="0"/>
              <w:adjustRightInd w:val="0"/>
              <w:snapToGrid w:val="0"/>
              <w:jc w:val="center"/>
              <w:rPr>
                <w:rFonts w:hint="eastAsia" w:ascii="宋体" w:hAnsi="宋体" w:eastAsia="宋体" w:cs="宋体"/>
                <w:color w:val="000000"/>
                <w:sz w:val="24"/>
                <w:lang w:val="en-US" w:eastAsia="zh-CN"/>
              </w:rPr>
            </w:pPr>
            <w:r>
              <w:rPr>
                <w:rFonts w:hint="eastAsia" w:ascii="宋体" w:hAnsi="宋体" w:cs="宋体"/>
                <w:b/>
                <w:color w:val="000000"/>
                <w:sz w:val="24"/>
                <w:highlight w:val="none"/>
                <w:lang w:val="en-US" w:eastAsia="zh-CN"/>
              </w:rPr>
              <w:t>3分</w:t>
            </w:r>
          </w:p>
        </w:tc>
      </w:tr>
      <w:tr>
        <w:tblPrEx>
          <w:tblCellMar>
            <w:top w:w="0" w:type="dxa"/>
            <w:left w:w="108" w:type="dxa"/>
            <w:bottom w:w="0" w:type="dxa"/>
            <w:right w:w="108" w:type="dxa"/>
          </w:tblCellMar>
        </w:tblPrEx>
        <w:trPr>
          <w:trHeight w:val="651"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cs="宋体"/>
                <w:b/>
                <w:bCs w:val="0"/>
                <w:color w:val="000000"/>
                <w:sz w:val="24"/>
                <w:lang w:val="en-US" w:eastAsia="zh-CN"/>
              </w:rPr>
            </w:pPr>
            <w:r>
              <w:rPr>
                <w:rFonts w:hint="eastAsia" w:cs="宋体"/>
                <w:b/>
                <w:bCs w:val="0"/>
                <w:color w:val="000000"/>
                <w:sz w:val="24"/>
                <w:lang w:val="en-US" w:eastAsia="zh-CN"/>
              </w:rPr>
              <w:t>9</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宋体" w:hAnsi="宋体" w:eastAsia="宋体" w:cs="宋体"/>
                <w:b/>
                <w:bCs w:val="0"/>
                <w:color w:val="000000"/>
                <w:sz w:val="24"/>
                <w:lang w:val="en-US" w:eastAsia="zh-CN"/>
              </w:rPr>
            </w:pPr>
            <w:r>
              <w:rPr>
                <w:rFonts w:hint="eastAsia" w:ascii="宋体" w:hAnsi="宋体" w:eastAsia="宋体" w:cs="宋体"/>
                <w:b/>
                <w:bCs w:val="0"/>
                <w:color w:val="000000"/>
                <w:sz w:val="24"/>
                <w:lang w:val="en-US" w:eastAsia="zh-CN"/>
              </w:rPr>
              <w:t>企业实力</w:t>
            </w:r>
          </w:p>
        </w:tc>
        <w:tc>
          <w:tcPr>
            <w:tcW w:w="6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为二级甲等及以上医院或我校附属医院的得</w:t>
            </w:r>
            <w:r>
              <w:rPr>
                <w:rFonts w:hint="eastAsia" w:ascii="宋体" w:hAnsi="宋体" w:cs="宋体"/>
                <w:b w:val="0"/>
                <w:bCs/>
                <w:color w:val="000000"/>
                <w:kern w:val="2"/>
                <w:sz w:val="21"/>
                <w:szCs w:val="21"/>
                <w:lang w:val="en-US" w:eastAsia="zh-CN" w:bidi="ar-SA"/>
              </w:rPr>
              <w:t>5</w:t>
            </w:r>
            <w:r>
              <w:rPr>
                <w:rFonts w:hint="eastAsia" w:ascii="宋体" w:hAnsi="宋体" w:eastAsia="宋体" w:cs="宋体"/>
                <w:b w:val="0"/>
                <w:bCs/>
                <w:color w:val="000000"/>
                <w:kern w:val="2"/>
                <w:sz w:val="21"/>
                <w:szCs w:val="21"/>
                <w:lang w:val="en-US" w:eastAsia="zh-CN" w:bidi="ar-SA"/>
              </w:rPr>
              <w:t>分。</w:t>
            </w:r>
          </w:p>
          <w:p>
            <w:pPr>
              <w:keepNext w:val="0"/>
              <w:keepLines w:val="0"/>
              <w:pageBreakBefore w:val="0"/>
              <w:widowControl/>
              <w:kinsoku/>
              <w:overflowPunct/>
              <w:topLinePunct w:val="0"/>
              <w:autoSpaceDE/>
              <w:autoSpaceDN/>
              <w:bidi w:val="0"/>
              <w:adjustRightInd w:val="0"/>
              <w:snapToGrid w:val="0"/>
              <w:spacing w:line="360" w:lineRule="auto"/>
              <w:ind w:firstLine="422" w:firstLineChars="200"/>
              <w:jc w:val="left"/>
              <w:textAlignment w:val="auto"/>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bCs w:val="0"/>
                <w:color w:val="000000"/>
                <w:kern w:val="2"/>
                <w:sz w:val="21"/>
                <w:szCs w:val="21"/>
                <w:lang w:val="en-US" w:eastAsia="zh-CN" w:bidi="ar-SA"/>
              </w:rPr>
              <w:t>供应商需提供相关证明，不提供不得分。</w:t>
            </w:r>
          </w:p>
        </w:tc>
        <w:tc>
          <w:tcPr>
            <w:tcW w:w="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宋体" w:hAnsi="宋体" w:cs="宋体"/>
                <w:b/>
                <w:color w:val="000000"/>
                <w:sz w:val="24"/>
                <w:highlight w:val="none"/>
                <w:lang w:val="en-US" w:eastAsia="zh-CN"/>
              </w:rPr>
            </w:pPr>
            <w:r>
              <w:rPr>
                <w:rFonts w:hint="eastAsia" w:ascii="宋体" w:hAnsi="宋体" w:cs="宋体"/>
                <w:b/>
                <w:color w:val="000000"/>
                <w:sz w:val="24"/>
                <w:highlight w:val="none"/>
                <w:lang w:val="en-US" w:eastAsia="zh-CN"/>
              </w:rPr>
              <w:t>5分</w:t>
            </w:r>
          </w:p>
        </w:tc>
      </w:tr>
      <w:tr>
        <w:tblPrEx>
          <w:tblCellMar>
            <w:top w:w="0" w:type="dxa"/>
            <w:left w:w="108" w:type="dxa"/>
            <w:bottom w:w="0" w:type="dxa"/>
            <w:right w:w="108" w:type="dxa"/>
          </w:tblCellMar>
        </w:tblPrEx>
        <w:trPr>
          <w:trHeight w:val="690"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宋体" w:hAnsi="宋体" w:eastAsia="宋体" w:cs="宋体"/>
                <w:b/>
                <w:bCs w:val="0"/>
                <w:color w:val="000000"/>
                <w:sz w:val="24"/>
                <w:lang w:val="en-US" w:eastAsia="zh-CN"/>
              </w:rPr>
            </w:pPr>
            <w:r>
              <w:rPr>
                <w:rFonts w:hint="eastAsia" w:cs="宋体"/>
                <w:b/>
                <w:bCs w:val="0"/>
                <w:color w:val="000000"/>
                <w:sz w:val="24"/>
                <w:lang w:val="en-US" w:eastAsia="zh-CN"/>
              </w:rPr>
              <w:t>10</w:t>
            </w:r>
          </w:p>
        </w:tc>
        <w:tc>
          <w:tcPr>
            <w:tcW w:w="1455"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b/>
                <w:bCs w:val="0"/>
                <w:color w:val="000000"/>
                <w:sz w:val="24"/>
              </w:rPr>
            </w:pPr>
            <w:r>
              <w:rPr>
                <w:rFonts w:hint="eastAsia" w:ascii="宋体" w:hAnsi="宋体" w:eastAsia="宋体" w:cs="宋体"/>
                <w:b/>
                <w:bCs w:val="0"/>
                <w:color w:val="000000"/>
                <w:sz w:val="24"/>
              </w:rPr>
              <w:t>增值服务　</w:t>
            </w:r>
          </w:p>
        </w:tc>
        <w:tc>
          <w:tcPr>
            <w:tcW w:w="6135" w:type="dxa"/>
            <w:tcBorders>
              <w:top w:val="single" w:color="auto" w:sz="4" w:space="0"/>
              <w:left w:val="nil"/>
              <w:bottom w:val="single" w:color="auto" w:sz="4" w:space="0"/>
              <w:right w:val="single" w:color="auto" w:sz="4" w:space="0"/>
            </w:tcBorders>
            <w:shd w:val="clear" w:color="auto" w:fill="auto"/>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根据供应商提供招标需求中体检之外的增值服务内容进行评分，每提供一条承诺得1分，共4分。</w:t>
            </w:r>
          </w:p>
          <w:p>
            <w:pPr>
              <w:pStyle w:val="13"/>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1.开设专窗服务：湖州学院教职工、学生来院门/急诊就诊可享受。</w:t>
            </w:r>
          </w:p>
          <w:p>
            <w:pPr>
              <w:pStyle w:val="13"/>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2.绿色通道服务：湖州学院教职工、学生来院急诊可享受（先看病后付费）。</w:t>
            </w:r>
          </w:p>
          <w:p>
            <w:pPr>
              <w:pStyle w:val="13"/>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3.免专家挂号费：湖州学院教职工、学生来院门/急诊就诊可享受。</w:t>
            </w:r>
          </w:p>
          <w:p>
            <w:pPr>
              <w:pStyle w:val="13"/>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4.其他可提供的增值服务，每提供一条得1分，最多得1分。</w:t>
            </w:r>
          </w:p>
          <w:p>
            <w:pPr>
              <w:pStyle w:val="13"/>
              <w:keepNext w:val="0"/>
              <w:keepLines w:val="0"/>
              <w:pageBreakBefore w:val="0"/>
              <w:widowControl w:val="0"/>
              <w:kinsoku/>
              <w:wordWrap/>
              <w:overflowPunct/>
              <w:topLinePunct w:val="0"/>
              <w:autoSpaceDE/>
              <w:autoSpaceDN/>
              <w:bidi w:val="0"/>
              <w:adjustRightInd w:val="0"/>
              <w:snapToGrid w:val="0"/>
              <w:spacing w:after="0"/>
              <w:ind w:firstLine="422" w:firstLineChars="200"/>
              <w:textAlignment w:val="auto"/>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bCs w:val="0"/>
                <w:color w:val="000000"/>
                <w:kern w:val="2"/>
                <w:sz w:val="21"/>
                <w:szCs w:val="21"/>
                <w:lang w:val="en-US" w:eastAsia="zh-CN" w:bidi="ar-SA"/>
              </w:rPr>
              <w:t>需提供优惠承诺，未提供不得分。</w:t>
            </w:r>
          </w:p>
        </w:tc>
        <w:tc>
          <w:tcPr>
            <w:tcW w:w="845" w:type="dxa"/>
            <w:tcBorders>
              <w:top w:val="single" w:color="auto" w:sz="4" w:space="0"/>
              <w:left w:val="nil"/>
              <w:bottom w:val="single" w:color="auto" w:sz="4" w:space="0"/>
              <w:right w:val="single" w:color="auto" w:sz="4" w:space="0"/>
            </w:tcBorders>
            <w:shd w:val="clear" w:color="auto" w:fill="auto"/>
            <w:noWrap w:val="0"/>
            <w:vAlign w:val="center"/>
          </w:tcPr>
          <w:p>
            <w:pPr>
              <w:pStyle w:val="13"/>
              <w:adjustRightInd w:val="0"/>
              <w:snapToGrid w:val="0"/>
              <w:spacing w:after="0"/>
              <w:ind w:firstLine="0" w:firstLineChars="0"/>
              <w:jc w:val="center"/>
              <w:rPr>
                <w:rFonts w:hint="default" w:ascii="宋体" w:hAnsi="宋体" w:eastAsia="宋体" w:cs="宋体"/>
                <w:bCs/>
                <w:color w:val="000000"/>
                <w:sz w:val="24"/>
                <w:lang w:val="en-US" w:eastAsia="zh-CN"/>
              </w:rPr>
            </w:pPr>
            <w:r>
              <w:rPr>
                <w:rFonts w:hint="eastAsia" w:ascii="宋体" w:hAnsi="宋体" w:cs="宋体"/>
                <w:b/>
                <w:bCs w:val="0"/>
                <w:color w:val="000000"/>
                <w:sz w:val="24"/>
                <w:lang w:val="en-US" w:eastAsia="zh-CN"/>
              </w:rPr>
              <w:t>4分</w:t>
            </w:r>
          </w:p>
        </w:tc>
      </w:tr>
    </w:tbl>
    <w:p>
      <w:pPr>
        <w:spacing w:line="360" w:lineRule="auto"/>
        <w:jc w:val="left"/>
        <w:rPr>
          <w:rFonts w:ascii="黑体" w:hAnsi="黑体" w:eastAsia="黑体" w:cs="黑体"/>
          <w:color w:val="000000"/>
          <w:kern w:val="0"/>
          <w:sz w:val="28"/>
          <w:szCs w:val="28"/>
          <w:lang w:bidi="ar"/>
        </w:rPr>
      </w:pPr>
    </w:p>
    <w:p>
      <w:pPr>
        <w:rPr>
          <w:rFonts w:hint="eastAsia" w:ascii="宋体" w:hAnsi="宋体"/>
          <w:b/>
          <w:spacing w:val="-6"/>
          <w:sz w:val="24"/>
          <w:lang w:val="en-US" w:eastAsia="zh-CN"/>
        </w:rPr>
      </w:pPr>
      <w:r>
        <w:rPr>
          <w:rFonts w:hint="eastAsia" w:ascii="宋体" w:hAnsi="宋体"/>
          <w:b/>
          <w:spacing w:val="-6"/>
          <w:sz w:val="24"/>
          <w:lang w:val="en-US" w:eastAsia="zh-CN"/>
        </w:rPr>
        <w:br w:type="page"/>
      </w:r>
    </w:p>
    <w:p>
      <w:pPr>
        <w:spacing w:line="360" w:lineRule="auto"/>
        <w:jc w:val="left"/>
        <w:rPr>
          <w:rFonts w:hint="default" w:ascii="宋体" w:hAnsi="宋体" w:eastAsia="宋体"/>
          <w:b/>
          <w:spacing w:val="-6"/>
          <w:sz w:val="24"/>
          <w:lang w:val="en-US" w:eastAsia="zh-CN"/>
        </w:rPr>
      </w:pPr>
      <w:r>
        <w:rPr>
          <w:rFonts w:hint="eastAsia" w:ascii="宋体" w:hAnsi="宋体"/>
          <w:b/>
          <w:spacing w:val="-6"/>
          <w:sz w:val="24"/>
          <w:lang w:val="en-US" w:eastAsia="zh-CN"/>
        </w:rPr>
        <w:t>附件1</w:t>
      </w:r>
    </w:p>
    <w:p>
      <w:pPr>
        <w:spacing w:line="360" w:lineRule="auto"/>
        <w:jc w:val="center"/>
        <w:rPr>
          <w:rFonts w:hint="eastAsia" w:ascii="宋体" w:hAnsi="宋体"/>
          <w:b/>
          <w:spacing w:val="-6"/>
          <w:sz w:val="24"/>
        </w:rPr>
      </w:pPr>
      <w:r>
        <w:rPr>
          <w:rFonts w:hint="eastAsia" w:ascii="宋体" w:hAnsi="宋体"/>
          <w:b/>
          <w:spacing w:val="-6"/>
          <w:sz w:val="24"/>
        </w:rPr>
        <w:t>商务偏离表</w:t>
      </w:r>
    </w:p>
    <w:p>
      <w:pPr>
        <w:spacing w:line="360" w:lineRule="auto"/>
        <w:rPr>
          <w:rFonts w:hint="eastAsia" w:ascii="宋体" w:hAnsi="宋体"/>
          <w:spacing w:val="-6"/>
          <w:sz w:val="24"/>
        </w:rPr>
      </w:pPr>
      <w:r>
        <w:rPr>
          <w:rFonts w:hint="eastAsia" w:ascii="宋体" w:hAnsi="宋体"/>
          <w:bCs/>
          <w:spacing w:val="-6"/>
          <w:sz w:val="24"/>
        </w:rPr>
        <w:t>项目名称：</w:t>
      </w:r>
    </w:p>
    <w:p>
      <w:pPr>
        <w:spacing w:line="360" w:lineRule="auto"/>
        <w:rPr>
          <w:rFonts w:ascii="宋体" w:hAnsi="宋体"/>
          <w:bCs/>
          <w:spacing w:val="-6"/>
          <w:sz w:val="24"/>
        </w:rPr>
      </w:pPr>
      <w:r>
        <w:rPr>
          <w:rFonts w:hint="eastAsia" w:ascii="宋体" w:hAnsi="宋体"/>
          <w:bCs/>
          <w:spacing w:val="-6"/>
          <w:sz w:val="24"/>
        </w:rPr>
        <w:t>项目编号：</w:t>
      </w:r>
    </w:p>
    <w:tbl>
      <w:tblPr>
        <w:tblStyle w:val="15"/>
        <w:tblW w:w="86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3"/>
        <w:gridCol w:w="2798"/>
        <w:gridCol w:w="4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spacing w:val="-6"/>
                <w:sz w:val="24"/>
                <w:lang w:val="en-US" w:eastAsia="zh-CN"/>
              </w:rPr>
            </w:pPr>
            <w:r>
              <w:rPr>
                <w:rFonts w:hint="eastAsia" w:ascii="宋体" w:hAnsi="宋体"/>
                <w:b/>
                <w:spacing w:val="-6"/>
                <w:sz w:val="24"/>
                <w:lang w:val="en-US" w:eastAsia="zh-CN"/>
              </w:rPr>
              <w:t>序号</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pacing w:val="-6"/>
                <w:sz w:val="24"/>
              </w:rPr>
            </w:pPr>
            <w:r>
              <w:rPr>
                <w:rFonts w:hint="eastAsia" w:ascii="宋体" w:hAnsi="宋体"/>
                <w:b/>
                <w:spacing w:val="-6"/>
                <w:sz w:val="24"/>
                <w:lang w:val="en-US" w:eastAsia="zh-CN"/>
              </w:rPr>
              <w:t>采购</w:t>
            </w:r>
            <w:r>
              <w:rPr>
                <w:rFonts w:hint="eastAsia" w:ascii="宋体" w:hAnsi="宋体"/>
                <w:b/>
                <w:spacing w:val="-6"/>
                <w:sz w:val="24"/>
              </w:rPr>
              <w:t>文件要求</w:t>
            </w:r>
          </w:p>
        </w:tc>
        <w:tc>
          <w:tcPr>
            <w:tcW w:w="4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pacing w:val="-6"/>
                <w:sz w:val="24"/>
              </w:rPr>
            </w:pPr>
            <w:r>
              <w:rPr>
                <w:rFonts w:hint="eastAsia" w:ascii="宋体" w:hAnsi="宋体"/>
                <w:b/>
                <w:spacing w:val="-6"/>
                <w:sz w:val="24"/>
              </w:rPr>
              <w:t>是否偏离</w:t>
            </w:r>
          </w:p>
          <w:p>
            <w:pPr>
              <w:jc w:val="center"/>
              <w:rPr>
                <w:rFonts w:hint="eastAsia"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Cs/>
                <w:spacing w:val="-6"/>
                <w:sz w:val="24"/>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6"/>
                <w:sz w:val="24"/>
              </w:rPr>
            </w:pPr>
          </w:p>
        </w:tc>
        <w:tc>
          <w:tcPr>
            <w:tcW w:w="4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Cs/>
                <w:spacing w:val="-6"/>
                <w:sz w:val="24"/>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6"/>
                <w:sz w:val="24"/>
              </w:rPr>
            </w:pPr>
          </w:p>
        </w:tc>
        <w:tc>
          <w:tcPr>
            <w:tcW w:w="4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6"/>
                <w:sz w:val="24"/>
              </w:rPr>
            </w:pPr>
          </w:p>
        </w:tc>
      </w:tr>
    </w:tbl>
    <w:p>
      <w:pPr>
        <w:spacing w:line="360" w:lineRule="auto"/>
        <w:rPr>
          <w:rFonts w:hint="eastAsia" w:ascii="宋体" w:hAnsi="宋体"/>
          <w:b/>
          <w:bCs/>
          <w:spacing w:val="-6"/>
          <w:sz w:val="24"/>
        </w:rPr>
      </w:pPr>
    </w:p>
    <w:p>
      <w:pPr>
        <w:spacing w:line="360" w:lineRule="auto"/>
        <w:rPr>
          <w:rFonts w:hint="eastAsia" w:ascii="宋体" w:hAnsi="宋体"/>
          <w:b/>
          <w:bCs/>
          <w:spacing w:val="-6"/>
          <w:sz w:val="24"/>
        </w:rPr>
      </w:pPr>
      <w:r>
        <w:rPr>
          <w:rFonts w:hint="eastAsia" w:ascii="宋体" w:hAnsi="宋体"/>
          <w:b/>
          <w:bCs/>
          <w:spacing w:val="-6"/>
          <w:sz w:val="24"/>
        </w:rPr>
        <w:t>说明：</w:t>
      </w:r>
    </w:p>
    <w:p>
      <w:pPr>
        <w:spacing w:line="360" w:lineRule="auto"/>
        <w:rPr>
          <w:rFonts w:hint="eastAsia" w:ascii="宋体" w:hAnsi="宋体"/>
          <w:b/>
          <w:bCs/>
          <w:spacing w:val="-6"/>
          <w:sz w:val="24"/>
        </w:rPr>
      </w:pPr>
      <w:r>
        <w:rPr>
          <w:rFonts w:hint="eastAsia" w:ascii="宋体" w:hAnsi="宋体"/>
          <w:b/>
          <w:bCs/>
          <w:spacing w:val="-6"/>
          <w:sz w:val="24"/>
        </w:rPr>
        <w:t>1</w:t>
      </w:r>
      <w:r>
        <w:rPr>
          <w:rFonts w:hint="eastAsia" w:ascii="宋体" w:hAnsi="宋体"/>
          <w:b/>
          <w:bCs/>
          <w:spacing w:val="-6"/>
          <w:sz w:val="24"/>
          <w:lang w:eastAsia="zh-CN"/>
        </w:rPr>
        <w:t>.</w:t>
      </w:r>
      <w:r>
        <w:rPr>
          <w:rFonts w:hint="eastAsia" w:ascii="宋体" w:hAnsi="宋体"/>
          <w:b/>
          <w:bCs/>
          <w:spacing w:val="-6"/>
          <w:sz w:val="24"/>
        </w:rPr>
        <w:t>逐项按照招标文件要求填写。</w:t>
      </w:r>
    </w:p>
    <w:p>
      <w:pPr>
        <w:spacing w:line="360" w:lineRule="auto"/>
        <w:rPr>
          <w:rFonts w:hint="eastAsia" w:ascii="宋体" w:hAnsi="宋体"/>
          <w:b/>
          <w:bCs/>
          <w:spacing w:val="-6"/>
          <w:sz w:val="24"/>
        </w:rPr>
      </w:pPr>
      <w:r>
        <w:rPr>
          <w:rFonts w:hint="eastAsia" w:ascii="宋体" w:hAnsi="宋体"/>
          <w:b/>
          <w:bCs/>
          <w:spacing w:val="-6"/>
          <w:sz w:val="24"/>
        </w:rPr>
        <w:t>2</w:t>
      </w:r>
      <w:r>
        <w:rPr>
          <w:rFonts w:hint="eastAsia" w:ascii="宋体" w:hAnsi="宋体"/>
          <w:b/>
          <w:bCs/>
          <w:spacing w:val="-6"/>
          <w:sz w:val="24"/>
          <w:lang w:eastAsia="zh-CN"/>
        </w:rPr>
        <w:t>.</w:t>
      </w:r>
      <w:r>
        <w:rPr>
          <w:rFonts w:hint="eastAsia" w:ascii="宋体" w:hAnsi="宋体"/>
          <w:b/>
          <w:bCs/>
          <w:spacing w:val="-6"/>
          <w:sz w:val="24"/>
        </w:rPr>
        <w:t>偏离说明是指对招标文件要求存在不同之处的解释说明。偏离系指：正偏离（高于招标要求）、负偏离（低于招标要求）、无偏离（满足招标要求）。</w:t>
      </w:r>
    </w:p>
    <w:p>
      <w:pPr>
        <w:spacing w:line="360" w:lineRule="auto"/>
        <w:rPr>
          <w:rFonts w:hint="eastAsia" w:ascii="宋体" w:hAnsi="宋体"/>
          <w:b/>
          <w:bCs/>
          <w:spacing w:val="-6"/>
          <w:sz w:val="24"/>
        </w:rPr>
      </w:pPr>
      <w:r>
        <w:rPr>
          <w:rFonts w:hint="eastAsia" w:ascii="宋体" w:hAnsi="宋体"/>
          <w:b/>
          <w:bCs/>
          <w:spacing w:val="-6"/>
          <w:sz w:val="24"/>
        </w:rPr>
        <w:t>3</w:t>
      </w:r>
      <w:r>
        <w:rPr>
          <w:rFonts w:hint="eastAsia" w:ascii="宋体" w:hAnsi="宋体"/>
          <w:b/>
          <w:bCs/>
          <w:spacing w:val="-6"/>
          <w:sz w:val="24"/>
          <w:lang w:eastAsia="zh-CN"/>
        </w:rPr>
        <w:t>.</w:t>
      </w:r>
      <w:r>
        <w:rPr>
          <w:rFonts w:hint="eastAsia" w:ascii="宋体" w:hAnsi="宋体"/>
          <w:b/>
          <w:bCs/>
          <w:spacing w:val="-6"/>
          <w:sz w:val="24"/>
        </w:rPr>
        <w:t>如不填写或填写不全或未如实填写，自行承担投标风险。</w:t>
      </w:r>
    </w:p>
    <w:p>
      <w:pPr>
        <w:spacing w:line="360" w:lineRule="auto"/>
        <w:rPr>
          <w:rFonts w:hint="default" w:ascii="宋体" w:hAnsi="宋体" w:eastAsia="宋体"/>
          <w:b/>
          <w:bCs/>
          <w:spacing w:val="-6"/>
          <w:sz w:val="24"/>
          <w:lang w:val="en-US" w:eastAsia="zh-CN"/>
        </w:rPr>
      </w:pPr>
      <w:r>
        <w:rPr>
          <w:rFonts w:hint="eastAsia" w:ascii="宋体" w:hAnsi="宋体"/>
          <w:b/>
          <w:bCs/>
          <w:spacing w:val="-6"/>
          <w:sz w:val="24"/>
          <w:lang w:val="en-US" w:eastAsia="zh-CN"/>
        </w:rPr>
        <w:t>4.相关证明材料附后，未提供证明材料的视为负偏离。</w:t>
      </w:r>
    </w:p>
    <w:p>
      <w:pPr>
        <w:spacing w:line="360" w:lineRule="auto"/>
        <w:rPr>
          <w:rFonts w:hint="eastAsia" w:ascii="宋体" w:hAnsi="宋体"/>
          <w:spacing w:val="-6"/>
          <w:sz w:val="24"/>
        </w:rPr>
      </w:pPr>
      <w:r>
        <w:rPr>
          <w:rFonts w:hint="eastAsia" w:ascii="宋体" w:hAnsi="宋体"/>
          <w:spacing w:val="-6"/>
          <w:sz w:val="24"/>
        </w:rPr>
        <w:t xml:space="preserve">投标人名称（盖章）： </w:t>
      </w:r>
    </w:p>
    <w:p>
      <w:pPr>
        <w:spacing w:line="360" w:lineRule="auto"/>
        <w:rPr>
          <w:rFonts w:hint="eastAsia" w:ascii="宋体" w:hAnsi="宋体"/>
          <w:spacing w:val="-6"/>
          <w:sz w:val="24"/>
        </w:rPr>
      </w:pPr>
      <w:r>
        <w:rPr>
          <w:rFonts w:hint="eastAsia" w:ascii="宋体" w:hAnsi="宋体"/>
          <w:spacing w:val="-6"/>
          <w:sz w:val="24"/>
        </w:rPr>
        <w:t>授权代表签字：</w:t>
      </w:r>
    </w:p>
    <w:p>
      <w:pPr>
        <w:spacing w:line="360" w:lineRule="auto"/>
        <w:rPr>
          <w:rFonts w:hint="eastAsia" w:ascii="宋体" w:hAnsi="宋体"/>
          <w:spacing w:val="-6"/>
          <w:sz w:val="24"/>
        </w:rPr>
      </w:pPr>
      <w:r>
        <w:rPr>
          <w:rFonts w:hint="eastAsia" w:ascii="宋体" w:hAnsi="宋体"/>
          <w:bCs/>
          <w:spacing w:val="-6"/>
          <w:sz w:val="24"/>
        </w:rPr>
        <w:t>日期：  年  月  日</w:t>
      </w:r>
    </w:p>
    <w:p>
      <w:pPr>
        <w:spacing w:line="360" w:lineRule="auto"/>
        <w:rPr>
          <w:rFonts w:hint="eastAsia" w:ascii="宋体" w:hAnsi="宋体"/>
          <w:spacing w:val="-6"/>
          <w:sz w:val="24"/>
        </w:rPr>
      </w:pPr>
    </w:p>
    <w:p>
      <w:pPr>
        <w:spacing w:line="360" w:lineRule="auto"/>
        <w:jc w:val="left"/>
        <w:rPr>
          <w:rFonts w:hint="eastAsia" w:ascii="宋体" w:hAnsi="宋体"/>
          <w:spacing w:val="-6"/>
          <w:sz w:val="24"/>
          <w:lang w:val="en-US" w:eastAsia="zh-CN"/>
        </w:rPr>
      </w:pPr>
      <w:r>
        <w:rPr>
          <w:rFonts w:ascii="宋体" w:hAnsi="宋体"/>
          <w:spacing w:val="-6"/>
          <w:sz w:val="24"/>
        </w:rPr>
        <w:br w:type="page"/>
      </w:r>
      <w:r>
        <w:rPr>
          <w:rFonts w:hint="eastAsia" w:ascii="宋体" w:hAnsi="宋体"/>
          <w:b/>
          <w:bCs/>
          <w:spacing w:val="-6"/>
          <w:sz w:val="24"/>
          <w:lang w:val="en-US" w:eastAsia="zh-CN"/>
        </w:rPr>
        <w:t>附件2</w:t>
      </w:r>
    </w:p>
    <w:p>
      <w:pPr>
        <w:spacing w:line="360" w:lineRule="auto"/>
        <w:jc w:val="center"/>
        <w:rPr>
          <w:rFonts w:hint="eastAsia" w:ascii="宋体" w:hAnsi="宋体"/>
          <w:b/>
          <w:spacing w:val="-6"/>
          <w:sz w:val="40"/>
          <w:szCs w:val="40"/>
        </w:rPr>
      </w:pPr>
      <w:r>
        <w:rPr>
          <w:rFonts w:hint="eastAsia" w:ascii="宋体" w:hAnsi="宋体"/>
          <w:b/>
          <w:spacing w:val="-6"/>
          <w:sz w:val="40"/>
          <w:szCs w:val="40"/>
        </w:rPr>
        <w:t>报价文件</w:t>
      </w:r>
    </w:p>
    <w:p>
      <w:pPr>
        <w:spacing w:line="360" w:lineRule="auto"/>
        <w:rPr>
          <w:rFonts w:hint="eastAsia" w:ascii="宋体" w:hAnsi="宋体"/>
          <w:spacing w:val="-6"/>
          <w:sz w:val="24"/>
        </w:rPr>
      </w:pPr>
      <w:r>
        <w:rPr>
          <w:rFonts w:hint="eastAsia" w:ascii="宋体" w:hAnsi="宋体"/>
          <w:spacing w:val="-6"/>
          <w:sz w:val="24"/>
        </w:rPr>
        <w:t>项目编号：</w:t>
      </w:r>
    </w:p>
    <w:p>
      <w:pPr>
        <w:spacing w:line="360" w:lineRule="auto"/>
        <w:rPr>
          <w:rFonts w:hint="eastAsia" w:ascii="宋体" w:hAnsi="宋体"/>
          <w:spacing w:val="-6"/>
          <w:sz w:val="24"/>
        </w:rPr>
      </w:pPr>
      <w:r>
        <w:rPr>
          <w:rFonts w:hint="eastAsia" w:ascii="宋体" w:hAnsi="宋体"/>
          <w:spacing w:val="-6"/>
          <w:sz w:val="24"/>
        </w:rPr>
        <w:t>投标人名称：</w:t>
      </w:r>
      <w:r>
        <w:rPr>
          <w:rFonts w:hint="eastAsia" w:ascii="宋体" w:hAnsi="宋体"/>
          <w:spacing w:val="-6"/>
          <w:sz w:val="24"/>
          <w:u w:val="single"/>
        </w:rPr>
        <w:t xml:space="preserve">                     </w:t>
      </w:r>
    </w:p>
    <w:tbl>
      <w:tblPr>
        <w:tblStyle w:val="1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20"/>
        <w:gridCol w:w="4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spacing w:val="-6"/>
                <w:sz w:val="24"/>
                <w:lang w:val="en-US" w:eastAsia="zh-CN"/>
              </w:rPr>
            </w:pPr>
            <w:r>
              <w:rPr>
                <w:rFonts w:hint="eastAsia" w:ascii="宋体" w:hAnsi="宋体"/>
                <w:b/>
                <w:spacing w:val="-6"/>
                <w:sz w:val="24"/>
                <w:lang w:val="en-US" w:eastAsia="zh-CN"/>
              </w:rPr>
              <w:t>报价清单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spacing w:val="-6"/>
                <w:sz w:val="24"/>
                <w:lang w:val="en-US" w:eastAsia="zh-CN"/>
              </w:rPr>
            </w:pPr>
            <w:r>
              <w:rPr>
                <w:rFonts w:hint="eastAsia" w:ascii="宋体" w:hAnsi="宋体"/>
                <w:b/>
                <w:spacing w:val="-6"/>
                <w:sz w:val="24"/>
                <w:lang w:val="en-US" w:eastAsia="zh-CN"/>
              </w:rPr>
              <w:t>项目</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spacing w:val="-6"/>
                <w:sz w:val="24"/>
                <w:lang w:val="en-US" w:eastAsia="zh-CN"/>
              </w:rPr>
            </w:pPr>
            <w:r>
              <w:rPr>
                <w:rFonts w:hint="eastAsia" w:ascii="宋体" w:hAnsi="宋体"/>
                <w:b/>
                <w:spacing w:val="-6"/>
                <w:sz w:val="24"/>
                <w:lang w:val="en-US" w:eastAsia="zh-CN"/>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pacing w:val="-6"/>
                <w:sz w:val="24"/>
                <w:lang w:val="en-US" w:eastAsia="zh-CN"/>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pacing w:val="-6"/>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pacing w:val="-6"/>
                <w:sz w:val="24"/>
                <w:lang w:val="en-US" w:eastAsia="zh-CN"/>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pacing w:val="-6"/>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u w:val="single"/>
              </w:rPr>
            </w:pPr>
            <w:r>
              <w:rPr>
                <w:rFonts w:hint="eastAsia" w:ascii="宋体" w:hAnsi="宋体"/>
                <w:b/>
                <w:spacing w:val="-6"/>
                <w:sz w:val="24"/>
              </w:rPr>
              <w:t>投标</w:t>
            </w:r>
            <w:r>
              <w:rPr>
                <w:rFonts w:hint="eastAsia" w:ascii="宋体" w:hAnsi="宋体"/>
                <w:b/>
                <w:spacing w:val="-6"/>
                <w:sz w:val="24"/>
                <w:lang w:val="en-US" w:eastAsia="zh-CN"/>
              </w:rPr>
              <w:t>单</w:t>
            </w:r>
            <w:r>
              <w:rPr>
                <w:rFonts w:hint="eastAsia" w:ascii="宋体" w:hAnsi="宋体"/>
                <w:b/>
                <w:spacing w:val="-6"/>
                <w:sz w:val="24"/>
              </w:rPr>
              <w:t>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spacing w:val="-6"/>
                <w:sz w:val="24"/>
              </w:rPr>
            </w:pPr>
          </w:p>
          <w:p>
            <w:pPr>
              <w:spacing w:line="360" w:lineRule="auto"/>
              <w:rPr>
                <w:rFonts w:hint="eastAsia"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，小写：</w:t>
            </w:r>
            <w:r>
              <w:rPr>
                <w:rFonts w:hint="eastAsia" w:ascii="宋体" w:hAnsi="宋体"/>
                <w:spacing w:val="-6"/>
                <w:sz w:val="24"/>
                <w:u w:val="single"/>
              </w:rPr>
              <w:t xml:space="preserve">            </w:t>
            </w:r>
          </w:p>
          <w:p>
            <w:pPr>
              <w:spacing w:line="360" w:lineRule="auto"/>
              <w:rPr>
                <w:rFonts w:hint="eastAsia" w:ascii="宋体" w:hAnsi="宋体"/>
                <w:spacing w:val="-6"/>
                <w:sz w:val="24"/>
                <w:u w:val="single"/>
              </w:rPr>
            </w:pPr>
          </w:p>
          <w:p>
            <w:pPr>
              <w:spacing w:line="360" w:lineRule="auto"/>
              <w:rPr>
                <w:rFonts w:hint="eastAsia" w:ascii="宋体" w:hAnsi="宋体"/>
                <w:b/>
                <w:spacing w:val="-6"/>
                <w:sz w:val="24"/>
              </w:rPr>
            </w:pPr>
            <w:r>
              <w:rPr>
                <w:rFonts w:hint="eastAsia" w:ascii="宋体" w:hAnsi="宋体"/>
                <w:spacing w:val="-6"/>
                <w:sz w:val="24"/>
              </w:rPr>
              <w:t>单位：人民币元</w:t>
            </w:r>
          </w:p>
        </w:tc>
      </w:tr>
    </w:tbl>
    <w:p>
      <w:pPr>
        <w:spacing w:line="360" w:lineRule="auto"/>
        <w:jc w:val="left"/>
        <w:rPr>
          <w:rFonts w:hint="eastAsia" w:ascii="宋体" w:hAnsi="宋体"/>
          <w:spacing w:val="-6"/>
          <w:sz w:val="24"/>
        </w:rPr>
      </w:pPr>
    </w:p>
    <w:p>
      <w:pPr>
        <w:spacing w:line="360" w:lineRule="auto"/>
        <w:jc w:val="left"/>
        <w:rPr>
          <w:rFonts w:hint="eastAsia" w:ascii="宋体" w:hAnsi="宋体"/>
          <w:b/>
          <w:spacing w:val="-6"/>
          <w:sz w:val="24"/>
        </w:rPr>
      </w:pPr>
      <w:r>
        <w:rPr>
          <w:rFonts w:hint="eastAsia" w:ascii="宋体" w:hAnsi="宋体"/>
          <w:b/>
          <w:spacing w:val="-6"/>
          <w:sz w:val="24"/>
        </w:rPr>
        <w:t>说明:</w:t>
      </w:r>
    </w:p>
    <w:p>
      <w:pPr>
        <w:spacing w:line="360" w:lineRule="auto"/>
        <w:jc w:val="left"/>
        <w:rPr>
          <w:rFonts w:hint="eastAsia" w:ascii="宋体" w:hAnsi="宋体" w:eastAsia="宋体"/>
          <w:b/>
          <w:spacing w:val="-6"/>
          <w:sz w:val="24"/>
          <w:lang w:eastAsia="zh-CN"/>
        </w:rPr>
      </w:pPr>
      <w:r>
        <w:rPr>
          <w:rFonts w:hint="eastAsia" w:ascii="宋体" w:hAnsi="宋体"/>
          <w:b/>
          <w:spacing w:val="-6"/>
          <w:sz w:val="24"/>
        </w:rPr>
        <w:t>1、</w:t>
      </w:r>
      <w:r>
        <w:rPr>
          <w:rFonts w:hint="eastAsia" w:ascii="宋体" w:hAnsi="宋体"/>
          <w:b/>
          <w:spacing w:val="-6"/>
          <w:sz w:val="24"/>
          <w:lang w:val="en-US" w:eastAsia="zh-CN"/>
        </w:rPr>
        <w:t>投标单价包括</w:t>
      </w:r>
      <w:r>
        <w:rPr>
          <w:rFonts w:hint="eastAsia" w:ascii="宋体" w:hAnsi="宋体"/>
          <w:b/>
          <w:spacing w:val="-6"/>
          <w:sz w:val="24"/>
        </w:rPr>
        <w:t>人员工资、车、餐费、交通、保险、税费、利润、完成合同所需的一切本身和不可或缺的所有工作开支、政策性文件规定及合同包含的所有风险、责任等各项全部费用</w:t>
      </w:r>
      <w:r>
        <w:rPr>
          <w:rFonts w:hint="eastAsia" w:ascii="宋体" w:hAnsi="宋体"/>
          <w:b/>
          <w:spacing w:val="-6"/>
          <w:sz w:val="24"/>
          <w:lang w:eastAsia="zh-CN"/>
        </w:rPr>
        <w:t>。</w:t>
      </w:r>
    </w:p>
    <w:p>
      <w:pPr>
        <w:spacing w:line="360" w:lineRule="auto"/>
        <w:rPr>
          <w:rFonts w:hint="eastAsia" w:ascii="宋体" w:hAnsi="宋体"/>
          <w:b/>
          <w:spacing w:val="-6"/>
          <w:sz w:val="24"/>
        </w:rPr>
      </w:pPr>
      <w:r>
        <w:rPr>
          <w:rFonts w:hint="eastAsia" w:ascii="宋体" w:hAnsi="宋体"/>
          <w:b/>
          <w:spacing w:val="-6"/>
          <w:sz w:val="24"/>
          <w:lang w:val="en-US" w:eastAsia="zh-CN"/>
        </w:rPr>
        <w:t>2</w:t>
      </w:r>
      <w:r>
        <w:rPr>
          <w:rFonts w:hint="eastAsia" w:ascii="宋体" w:hAnsi="宋体"/>
          <w:b/>
          <w:spacing w:val="-6"/>
          <w:sz w:val="24"/>
        </w:rPr>
        <w:t>、此表在不改变格式要求的情况下，可自行制作。</w:t>
      </w:r>
    </w:p>
    <w:p>
      <w:pPr>
        <w:spacing w:line="360" w:lineRule="auto"/>
        <w:rPr>
          <w:rFonts w:hint="eastAsia" w:ascii="宋体" w:hAnsi="宋体"/>
          <w:spacing w:val="-6"/>
          <w:sz w:val="24"/>
        </w:rPr>
      </w:pPr>
    </w:p>
    <w:p>
      <w:pPr>
        <w:spacing w:line="360" w:lineRule="auto"/>
        <w:ind w:right="-817" w:rightChars="-389"/>
        <w:rPr>
          <w:rFonts w:hint="eastAsia" w:ascii="宋体" w:hAnsi="宋体"/>
          <w:spacing w:val="-6"/>
          <w:sz w:val="24"/>
        </w:rPr>
      </w:pPr>
      <w:r>
        <w:rPr>
          <w:rFonts w:hint="eastAsia" w:ascii="宋体" w:hAnsi="宋体"/>
          <w:spacing w:val="-6"/>
          <w:sz w:val="24"/>
        </w:rPr>
        <w:t xml:space="preserve">投标人名称（盖章）： </w:t>
      </w:r>
    </w:p>
    <w:p>
      <w:pPr>
        <w:spacing w:line="360" w:lineRule="auto"/>
        <w:ind w:right="-817" w:rightChars="-389"/>
        <w:rPr>
          <w:rFonts w:hint="eastAsia" w:ascii="宋体" w:hAnsi="宋体"/>
          <w:spacing w:val="-6"/>
          <w:sz w:val="24"/>
        </w:rPr>
      </w:pPr>
      <w:r>
        <w:rPr>
          <w:rFonts w:hint="eastAsia" w:ascii="宋体" w:hAnsi="宋体"/>
          <w:spacing w:val="-6"/>
          <w:sz w:val="24"/>
        </w:rPr>
        <w:t>授权代表签字：</w:t>
      </w:r>
    </w:p>
    <w:p>
      <w:pPr>
        <w:spacing w:line="360" w:lineRule="auto"/>
        <w:ind w:right="-817" w:rightChars="-389"/>
        <w:rPr>
          <w:rFonts w:hint="eastAsia" w:ascii="宋体" w:hAnsi="宋体"/>
          <w:spacing w:val="-6"/>
          <w:sz w:val="24"/>
        </w:rPr>
      </w:pPr>
      <w:r>
        <w:rPr>
          <w:rFonts w:hint="eastAsia" w:ascii="宋体" w:hAnsi="宋体"/>
          <w:bCs/>
          <w:spacing w:val="-6"/>
          <w:sz w:val="24"/>
        </w:rPr>
        <w:t>日期：  年  月  日</w:t>
      </w:r>
    </w:p>
    <w:p/>
    <w:sectPr>
      <w:pgSz w:w="11906" w:h="16838"/>
      <w:pgMar w:top="1134" w:right="1531" w:bottom="992" w:left="1531"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E57C8"/>
    <w:multiLevelType w:val="singleLevel"/>
    <w:tmpl w:val="B23E57C8"/>
    <w:lvl w:ilvl="0" w:tentative="0">
      <w:start w:val="2"/>
      <w:numFmt w:val="chineseCounting"/>
      <w:suff w:val="nothing"/>
      <w:lvlText w:val="%1、"/>
      <w:lvlJc w:val="left"/>
      <w:rPr>
        <w:rFonts w:hint="eastAsia"/>
      </w:rPr>
    </w:lvl>
  </w:abstractNum>
  <w:abstractNum w:abstractNumId="1">
    <w:nsid w:val="E5A7BECB"/>
    <w:multiLevelType w:val="singleLevel"/>
    <w:tmpl w:val="E5A7BEC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zNmMTAxYTY2ZmRkZmExZTFkMDJiZTZkNTQ5ZDkifQ=="/>
    <w:docVar w:name="KSO_WPS_MARK_KEY" w:val="beb3a89f-9c6a-4425-9a02-cbc3c4ee10db"/>
  </w:docVars>
  <w:rsids>
    <w:rsidRoot w:val="46190434"/>
    <w:rsid w:val="00043CC2"/>
    <w:rsid w:val="000824DC"/>
    <w:rsid w:val="00092067"/>
    <w:rsid w:val="0016586A"/>
    <w:rsid w:val="001663D3"/>
    <w:rsid w:val="001F20A8"/>
    <w:rsid w:val="004C2F73"/>
    <w:rsid w:val="006B7A33"/>
    <w:rsid w:val="00816B17"/>
    <w:rsid w:val="00A94D9C"/>
    <w:rsid w:val="00AB235F"/>
    <w:rsid w:val="00B9051F"/>
    <w:rsid w:val="00BE357C"/>
    <w:rsid w:val="00E05B3C"/>
    <w:rsid w:val="00FC6FEC"/>
    <w:rsid w:val="014063FE"/>
    <w:rsid w:val="023437E1"/>
    <w:rsid w:val="030E7406"/>
    <w:rsid w:val="042C4A18"/>
    <w:rsid w:val="04516D24"/>
    <w:rsid w:val="0495080F"/>
    <w:rsid w:val="04E672BC"/>
    <w:rsid w:val="05CF47C6"/>
    <w:rsid w:val="07D366E3"/>
    <w:rsid w:val="08251B75"/>
    <w:rsid w:val="095D5673"/>
    <w:rsid w:val="0974688C"/>
    <w:rsid w:val="09F70AC0"/>
    <w:rsid w:val="0AB539B9"/>
    <w:rsid w:val="0B9335CE"/>
    <w:rsid w:val="0C0B1662"/>
    <w:rsid w:val="0DAA0345"/>
    <w:rsid w:val="10011404"/>
    <w:rsid w:val="11032FA4"/>
    <w:rsid w:val="11F22EEC"/>
    <w:rsid w:val="125F245C"/>
    <w:rsid w:val="12894C9F"/>
    <w:rsid w:val="13E1587A"/>
    <w:rsid w:val="140C03C2"/>
    <w:rsid w:val="15345A11"/>
    <w:rsid w:val="15502D11"/>
    <w:rsid w:val="15B42ABF"/>
    <w:rsid w:val="15C9656A"/>
    <w:rsid w:val="16F01CA5"/>
    <w:rsid w:val="173043C7"/>
    <w:rsid w:val="1776627E"/>
    <w:rsid w:val="17D53D6A"/>
    <w:rsid w:val="18EE6D2E"/>
    <w:rsid w:val="1AB96F9B"/>
    <w:rsid w:val="1ABB736F"/>
    <w:rsid w:val="1BE62A7E"/>
    <w:rsid w:val="1C191237"/>
    <w:rsid w:val="1D497F91"/>
    <w:rsid w:val="1DB47B00"/>
    <w:rsid w:val="1E0F2F88"/>
    <w:rsid w:val="1E7F0392"/>
    <w:rsid w:val="1ED03F5F"/>
    <w:rsid w:val="1F2C538C"/>
    <w:rsid w:val="2039145B"/>
    <w:rsid w:val="20EE7B18"/>
    <w:rsid w:val="21FE64EE"/>
    <w:rsid w:val="22482F0D"/>
    <w:rsid w:val="22910410"/>
    <w:rsid w:val="229B128E"/>
    <w:rsid w:val="22A77C33"/>
    <w:rsid w:val="232156C2"/>
    <w:rsid w:val="246A716A"/>
    <w:rsid w:val="259D531E"/>
    <w:rsid w:val="29086F3D"/>
    <w:rsid w:val="290D27BA"/>
    <w:rsid w:val="29587CD6"/>
    <w:rsid w:val="29CB15C4"/>
    <w:rsid w:val="2A97058D"/>
    <w:rsid w:val="2B05199B"/>
    <w:rsid w:val="2D4D13D7"/>
    <w:rsid w:val="2E2B2687"/>
    <w:rsid w:val="2FC44B63"/>
    <w:rsid w:val="30A72C46"/>
    <w:rsid w:val="31540F86"/>
    <w:rsid w:val="31F72E5C"/>
    <w:rsid w:val="343F10D3"/>
    <w:rsid w:val="3482405C"/>
    <w:rsid w:val="35954B55"/>
    <w:rsid w:val="35D95EFE"/>
    <w:rsid w:val="35F42D38"/>
    <w:rsid w:val="369260AD"/>
    <w:rsid w:val="369B1405"/>
    <w:rsid w:val="37CB23B8"/>
    <w:rsid w:val="39E3522E"/>
    <w:rsid w:val="3A0D261A"/>
    <w:rsid w:val="3A9502F1"/>
    <w:rsid w:val="3AC9498B"/>
    <w:rsid w:val="3B1844F8"/>
    <w:rsid w:val="3B3D7DB9"/>
    <w:rsid w:val="3B4E0552"/>
    <w:rsid w:val="3BC87005"/>
    <w:rsid w:val="3BFB7BD3"/>
    <w:rsid w:val="3CA20A32"/>
    <w:rsid w:val="3DA72A27"/>
    <w:rsid w:val="3EAB2402"/>
    <w:rsid w:val="3FF04570"/>
    <w:rsid w:val="416E7E42"/>
    <w:rsid w:val="432F3601"/>
    <w:rsid w:val="437E00E5"/>
    <w:rsid w:val="440A7BCA"/>
    <w:rsid w:val="4427252A"/>
    <w:rsid w:val="4541761C"/>
    <w:rsid w:val="45C8380B"/>
    <w:rsid w:val="46190434"/>
    <w:rsid w:val="466A5434"/>
    <w:rsid w:val="483534DE"/>
    <w:rsid w:val="48DB43CF"/>
    <w:rsid w:val="4A2F2139"/>
    <w:rsid w:val="4C125927"/>
    <w:rsid w:val="4C26756B"/>
    <w:rsid w:val="4CE544FB"/>
    <w:rsid w:val="4DB20CDD"/>
    <w:rsid w:val="4E9407BC"/>
    <w:rsid w:val="4EC61464"/>
    <w:rsid w:val="4F4F0B87"/>
    <w:rsid w:val="5048062F"/>
    <w:rsid w:val="504A3779"/>
    <w:rsid w:val="534704F3"/>
    <w:rsid w:val="543F566E"/>
    <w:rsid w:val="54D51B2F"/>
    <w:rsid w:val="569177D9"/>
    <w:rsid w:val="56F94271"/>
    <w:rsid w:val="578A6C00"/>
    <w:rsid w:val="57911D3D"/>
    <w:rsid w:val="57C9597B"/>
    <w:rsid w:val="589F492D"/>
    <w:rsid w:val="58ED5699"/>
    <w:rsid w:val="59B936E7"/>
    <w:rsid w:val="5AF21418"/>
    <w:rsid w:val="5BD40D92"/>
    <w:rsid w:val="5FAF17A9"/>
    <w:rsid w:val="609D5132"/>
    <w:rsid w:val="60C05E27"/>
    <w:rsid w:val="627D4878"/>
    <w:rsid w:val="63275C4B"/>
    <w:rsid w:val="63A4729C"/>
    <w:rsid w:val="63E56738"/>
    <w:rsid w:val="63ED29F1"/>
    <w:rsid w:val="64394731"/>
    <w:rsid w:val="64405B07"/>
    <w:rsid w:val="64CF0348"/>
    <w:rsid w:val="64EE4C72"/>
    <w:rsid w:val="65EB29FC"/>
    <w:rsid w:val="66304E17"/>
    <w:rsid w:val="66417024"/>
    <w:rsid w:val="6671147A"/>
    <w:rsid w:val="66937143"/>
    <w:rsid w:val="67FB384B"/>
    <w:rsid w:val="69586B5E"/>
    <w:rsid w:val="695F65F5"/>
    <w:rsid w:val="69A55B1C"/>
    <w:rsid w:val="6CCD72EF"/>
    <w:rsid w:val="6D3C0545"/>
    <w:rsid w:val="6DDD3AD6"/>
    <w:rsid w:val="6F094457"/>
    <w:rsid w:val="6FC211D5"/>
    <w:rsid w:val="701A6136"/>
    <w:rsid w:val="723E6CC5"/>
    <w:rsid w:val="729D5B75"/>
    <w:rsid w:val="736B1827"/>
    <w:rsid w:val="736E5FF6"/>
    <w:rsid w:val="746A66E1"/>
    <w:rsid w:val="74730CF0"/>
    <w:rsid w:val="75263FB5"/>
    <w:rsid w:val="764346F2"/>
    <w:rsid w:val="76D33CC8"/>
    <w:rsid w:val="76E539FB"/>
    <w:rsid w:val="77FFF261"/>
    <w:rsid w:val="78E26444"/>
    <w:rsid w:val="79816177"/>
    <w:rsid w:val="79966DFD"/>
    <w:rsid w:val="7A6F6D75"/>
    <w:rsid w:val="7AE055DE"/>
    <w:rsid w:val="7B611BC9"/>
    <w:rsid w:val="7C3E7E36"/>
    <w:rsid w:val="7D152B2A"/>
    <w:rsid w:val="7D6A4C5A"/>
    <w:rsid w:val="7DFA17E2"/>
    <w:rsid w:val="7F243885"/>
    <w:rsid w:val="7FEA59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长城仿宋" w:hAnsi="黑体" w:eastAsia="长城仿宋" w:cs="黑体"/>
      <w:b/>
      <w:bCs/>
    </w:rPr>
  </w:style>
  <w:style w:type="paragraph" w:styleId="3">
    <w:name w:val="heading 3"/>
    <w:basedOn w:val="1"/>
    <w:next w:val="1"/>
    <w:qFormat/>
    <w:uiPriority w:val="0"/>
    <w:pPr>
      <w:keepNext/>
      <w:keepLines/>
      <w:spacing w:line="360" w:lineRule="auto"/>
      <w:outlineLvl w:val="2"/>
    </w:pPr>
    <w:rPr>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rPr>
      <w:rFonts w:eastAsia="黑体"/>
      <w:b/>
      <w:kern w:val="0"/>
      <w:sz w:val="24"/>
      <w:szCs w:val="20"/>
    </w:rPr>
  </w:style>
  <w:style w:type="paragraph" w:customStyle="1" w:styleId="5">
    <w:name w:val="Default"/>
    <w:next w:val="6"/>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0"/>
    <w:pPr>
      <w:widowControl w:val="0"/>
      <w:spacing w:line="200" w:lineRule="exact"/>
      <w:ind w:firstLine="301"/>
      <w:jc w:val="both"/>
    </w:pPr>
    <w:rPr>
      <w:rFonts w:ascii="宋体" w:hAnsi="Courier New" w:eastAsia="宋体" w:cs="Times New Roman"/>
      <w:spacing w:val="-4"/>
      <w:sz w:val="18"/>
      <w:lang w:val="en-US" w:eastAsia="zh-CN" w:bidi="ar-SA"/>
    </w:rPr>
  </w:style>
  <w:style w:type="paragraph" w:styleId="8">
    <w:name w:val="Plain Text"/>
    <w:basedOn w:val="1"/>
    <w:next w:val="1"/>
    <w:qFormat/>
    <w:uiPriority w:val="99"/>
    <w:pPr>
      <w:widowControl/>
      <w:overflowPunct w:val="0"/>
      <w:adjustRightInd w:val="0"/>
      <w:textAlignment w:val="baseline"/>
    </w:pPr>
    <w:rPr>
      <w:rFonts w:hAnsi="Courier New"/>
      <w:sz w:val="20"/>
      <w:szCs w:val="20"/>
    </w:rPr>
  </w:style>
  <w:style w:type="paragraph" w:styleId="9">
    <w:name w:val="Body Text Indent 2"/>
    <w:qFormat/>
    <w:uiPriority w:val="0"/>
    <w:pPr>
      <w:widowControl w:val="0"/>
      <w:spacing w:line="320" w:lineRule="atLeast"/>
      <w:ind w:firstLine="600" w:firstLineChars="250"/>
      <w:jc w:val="both"/>
    </w:pPr>
    <w:rPr>
      <w:rFonts w:ascii="宋体" w:hAnsi="宋体" w:eastAsia="宋体" w:cs="宋体"/>
      <w:kern w:val="2"/>
      <w:sz w:val="24"/>
      <w:szCs w:val="24"/>
      <w:lang w:val="en-US" w:eastAsia="zh-CN" w:bidi="ar-SA"/>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4"/>
    <w:next w:val="1"/>
    <w:qFormat/>
    <w:uiPriority w:val="99"/>
    <w:pPr>
      <w:spacing w:line="360" w:lineRule="auto"/>
      <w:ind w:firstLine="200" w:firstLineChars="200"/>
    </w:pPr>
  </w:style>
  <w:style w:type="paragraph" w:styleId="14">
    <w:name w:val="Body Text First Indent 2"/>
    <w:qFormat/>
    <w:uiPriority w:val="0"/>
    <w:pPr>
      <w:widowControl w:val="0"/>
      <w:spacing w:after="120"/>
      <w:ind w:left="420" w:leftChars="200" w:firstLine="420" w:firstLineChars="200"/>
      <w:jc w:val="both"/>
    </w:pPr>
    <w:rPr>
      <w:rFonts w:ascii="宋体" w:hAnsi="Courier New" w:eastAsia="宋体" w:cs="Times New Roman"/>
      <w:spacing w:val="-4"/>
      <w:sz w:val="21"/>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Home</Company>
  <Pages>7</Pages>
  <Words>4246</Words>
  <Characters>4513</Characters>
  <Lines>32</Lines>
  <Paragraphs>9</Paragraphs>
  <TotalTime>93</TotalTime>
  <ScaleCrop>false</ScaleCrop>
  <LinksUpToDate>false</LinksUpToDate>
  <CharactersWithSpaces>4672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2023-03-09T07:33:00Z</dcterms:created>
  <dc:creator>chameleon</dc:creator>
  <cp:lastModifiedBy>ejsunyan</cp:lastModifiedBy>
  <cp:lastPrinted>2023-09-14T06:55:00Z</cp:lastPrinted>
  <dcterms:modified xsi:type="dcterms:W3CDTF">2023-09-16T02:09:00Z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C9D01BAA280146FD8C729CAA956CB2E9</vt:lpwstr>
  </property>
</Properties>
</file>