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F7E6DB">
      <w:pPr>
        <w:tabs>
          <w:tab w:val="left" w:pos="1285"/>
          <w:tab w:val="center" w:pos="4652"/>
        </w:tabs>
        <w:spacing w:line="360" w:lineRule="auto"/>
        <w:jc w:val="center"/>
        <w:rPr>
          <w:rFonts w:ascii="宋体" w:hAnsi="宋体" w:eastAsia="宋体" w:cs="宋体"/>
          <w:b/>
          <w:bCs/>
          <w:sz w:val="52"/>
          <w:szCs w:val="52"/>
          <w:highlight w:val="none"/>
        </w:rPr>
      </w:pPr>
      <w:r>
        <w:rPr>
          <w:rFonts w:hint="eastAsia" w:ascii="宋体" w:hAnsi="宋体" w:eastAsia="宋体" w:cs="宋体"/>
          <w:b/>
          <w:bCs/>
          <w:sz w:val="52"/>
          <w:szCs w:val="52"/>
          <w:highlight w:val="none"/>
          <w:lang w:val="en-US" w:eastAsia="zh-CN"/>
        </w:rPr>
        <w:t>湖州学院变配电设备维保服务采购项目</w:t>
      </w:r>
    </w:p>
    <w:p w14:paraId="202900DF">
      <w:pPr>
        <w:tabs>
          <w:tab w:val="left" w:pos="1285"/>
          <w:tab w:val="center" w:pos="4652"/>
        </w:tabs>
        <w:spacing w:line="360" w:lineRule="auto"/>
        <w:jc w:val="center"/>
        <w:rPr>
          <w:rFonts w:ascii="宋体" w:hAnsi="宋体" w:eastAsia="宋体" w:cs="宋体"/>
          <w:b/>
          <w:bCs/>
          <w:sz w:val="52"/>
          <w:szCs w:val="52"/>
          <w:highlight w:val="none"/>
        </w:rPr>
      </w:pPr>
    </w:p>
    <w:p w14:paraId="31165E75">
      <w:pPr>
        <w:pStyle w:val="3"/>
        <w:ind w:firstLine="0" w:firstLineChars="0"/>
        <w:jc w:val="center"/>
        <w:rPr>
          <w:highlight w:val="none"/>
        </w:rPr>
      </w:pPr>
    </w:p>
    <w:p w14:paraId="2C038B04">
      <w:pPr>
        <w:tabs>
          <w:tab w:val="left" w:pos="1285"/>
          <w:tab w:val="center" w:pos="4652"/>
        </w:tabs>
        <w:spacing w:line="360" w:lineRule="auto"/>
        <w:jc w:val="center"/>
        <w:rPr>
          <w:rFonts w:ascii="宋体" w:hAnsi="宋体" w:eastAsia="宋体" w:cs="宋体"/>
          <w:b/>
          <w:bCs/>
          <w:sz w:val="52"/>
          <w:szCs w:val="52"/>
          <w:highlight w:val="none"/>
        </w:rPr>
      </w:pPr>
      <w:r>
        <w:rPr>
          <w:rFonts w:hint="eastAsia" w:ascii="宋体" w:hAnsi="宋体" w:eastAsia="宋体" w:cs="宋体"/>
          <w:b/>
          <w:bCs/>
          <w:sz w:val="52"/>
          <w:szCs w:val="52"/>
          <w:highlight w:val="none"/>
        </w:rPr>
        <w:t>招标文件</w:t>
      </w:r>
    </w:p>
    <w:p w14:paraId="64E5B7A9">
      <w:pPr>
        <w:pStyle w:val="3"/>
        <w:ind w:firstLine="0" w:firstLineChars="0"/>
        <w:jc w:val="center"/>
        <w:rPr>
          <w:highlight w:val="none"/>
        </w:rPr>
      </w:pPr>
    </w:p>
    <w:p w14:paraId="33B56418">
      <w:pPr>
        <w:spacing w:line="480" w:lineRule="auto"/>
        <w:jc w:val="center"/>
        <w:rPr>
          <w:rFonts w:ascii="宋体" w:hAnsi="宋体" w:eastAsia="宋体" w:cs="宋体"/>
          <w:b/>
          <w:bCs/>
          <w:sz w:val="32"/>
          <w:szCs w:val="32"/>
          <w:highlight w:val="none"/>
        </w:rPr>
      </w:pPr>
    </w:p>
    <w:p w14:paraId="6E59B6EC">
      <w:pPr>
        <w:pStyle w:val="3"/>
        <w:ind w:firstLine="0" w:firstLineChars="0"/>
        <w:jc w:val="center"/>
        <w:rPr>
          <w:rFonts w:ascii="宋体" w:hAnsi="宋体" w:cs="宋体"/>
          <w:b/>
          <w:bCs/>
          <w:sz w:val="32"/>
          <w:szCs w:val="32"/>
          <w:highlight w:val="none"/>
        </w:rPr>
      </w:pPr>
    </w:p>
    <w:p w14:paraId="752E5B0C">
      <w:pPr>
        <w:jc w:val="center"/>
        <w:rPr>
          <w:highlight w:val="none"/>
        </w:rPr>
      </w:pPr>
    </w:p>
    <w:p w14:paraId="593BA5E8">
      <w:pPr>
        <w:jc w:val="center"/>
        <w:rPr>
          <w:rFonts w:ascii="宋体" w:hAnsi="宋体" w:eastAsia="宋体" w:cs="宋体"/>
          <w:b/>
          <w:bCs/>
          <w:sz w:val="32"/>
          <w:szCs w:val="32"/>
          <w:highlight w:val="none"/>
        </w:rPr>
      </w:pPr>
    </w:p>
    <w:p w14:paraId="1B1529D9">
      <w:pPr>
        <w:pStyle w:val="3"/>
        <w:ind w:firstLine="0" w:firstLineChars="0"/>
        <w:jc w:val="center"/>
        <w:rPr>
          <w:highlight w:val="none"/>
        </w:rPr>
      </w:pPr>
    </w:p>
    <w:p w14:paraId="7E78599B">
      <w:pPr>
        <w:spacing w:line="480" w:lineRule="auto"/>
        <w:ind w:left="5013" w:leftChars="1316" w:hanging="2249" w:hangingChars="700"/>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rPr>
        <w:t>项目编号：</w:t>
      </w:r>
      <w:r>
        <w:rPr>
          <w:rFonts w:hint="eastAsia" w:ascii="宋体" w:hAnsi="宋体" w:eastAsia="宋体" w:cs="宋体"/>
          <w:b/>
          <w:bCs/>
          <w:sz w:val="32"/>
          <w:szCs w:val="32"/>
          <w:highlight w:val="none"/>
          <w:lang w:val="en-US" w:eastAsia="zh-CN"/>
        </w:rPr>
        <w:t>XZ2026005A</w:t>
      </w:r>
    </w:p>
    <w:p w14:paraId="3D77978E">
      <w:pPr>
        <w:spacing w:line="480" w:lineRule="auto"/>
        <w:ind w:left="5013" w:leftChars="1316" w:hanging="2249" w:hangingChars="700"/>
        <w:rPr>
          <w:rFonts w:ascii="宋体" w:hAnsi="宋体" w:eastAsia="宋体" w:cs="宋体"/>
          <w:b/>
          <w:bCs/>
          <w:sz w:val="32"/>
          <w:szCs w:val="32"/>
          <w:highlight w:val="none"/>
        </w:rPr>
      </w:pPr>
      <w:r>
        <w:rPr>
          <w:rFonts w:hint="eastAsia" w:ascii="宋体" w:hAnsi="宋体" w:eastAsia="宋体" w:cs="宋体"/>
          <w:b/>
          <w:bCs/>
          <w:sz w:val="32"/>
          <w:szCs w:val="32"/>
          <w:highlight w:val="none"/>
        </w:rPr>
        <w:t>采购人：湖州学院</w:t>
      </w:r>
    </w:p>
    <w:p w14:paraId="7FEC97D2">
      <w:pPr>
        <w:spacing w:line="480" w:lineRule="auto"/>
        <w:ind w:left="210" w:leftChars="100" w:firstLine="2570" w:firstLineChars="800"/>
        <w:jc w:val="left"/>
        <w:rPr>
          <w:rFonts w:ascii="宋体" w:hAnsi="宋体" w:eastAsia="宋体" w:cs="宋体"/>
          <w:b/>
          <w:bCs/>
          <w:sz w:val="32"/>
          <w:szCs w:val="32"/>
          <w:highlight w:val="none"/>
        </w:rPr>
      </w:pPr>
      <w:r>
        <w:rPr>
          <w:rFonts w:hint="eastAsia" w:ascii="宋体" w:hAnsi="宋体" w:eastAsia="宋体" w:cs="宋体"/>
          <w:b/>
          <w:bCs/>
          <w:sz w:val="32"/>
          <w:szCs w:val="32"/>
          <w:highlight w:val="none"/>
        </w:rPr>
        <w:t>日期：202</w:t>
      </w:r>
      <w:r>
        <w:rPr>
          <w:rFonts w:hint="eastAsia" w:ascii="宋体" w:hAnsi="宋体" w:eastAsia="宋体" w:cs="宋体"/>
          <w:b/>
          <w:bCs/>
          <w:sz w:val="32"/>
          <w:szCs w:val="32"/>
          <w:highlight w:val="none"/>
          <w:lang w:val="en-US" w:eastAsia="zh-CN"/>
        </w:rPr>
        <w:t>6</w:t>
      </w:r>
      <w:r>
        <w:rPr>
          <w:rFonts w:hint="eastAsia" w:ascii="宋体" w:hAnsi="宋体" w:eastAsia="宋体" w:cs="宋体"/>
          <w:b/>
          <w:bCs/>
          <w:sz w:val="32"/>
          <w:szCs w:val="32"/>
          <w:highlight w:val="none"/>
        </w:rPr>
        <w:t>年</w:t>
      </w:r>
      <w:r>
        <w:rPr>
          <w:rFonts w:hint="eastAsia" w:ascii="宋体" w:hAnsi="宋体" w:eastAsia="宋体" w:cs="宋体"/>
          <w:b/>
          <w:bCs/>
          <w:sz w:val="32"/>
          <w:szCs w:val="32"/>
          <w:highlight w:val="none"/>
          <w:lang w:val="en-US" w:eastAsia="zh-CN"/>
        </w:rPr>
        <w:t>5</w:t>
      </w:r>
      <w:r>
        <w:rPr>
          <w:rFonts w:hint="eastAsia" w:ascii="宋体" w:hAnsi="宋体" w:eastAsia="宋体" w:cs="宋体"/>
          <w:b/>
          <w:bCs/>
          <w:sz w:val="32"/>
          <w:szCs w:val="32"/>
          <w:highlight w:val="none"/>
        </w:rPr>
        <w:t>月</w:t>
      </w:r>
    </w:p>
    <w:p w14:paraId="46222C38">
      <w:pPr>
        <w:pStyle w:val="3"/>
        <w:ind w:firstLine="321"/>
        <w:rPr>
          <w:rFonts w:ascii="宋体" w:hAnsi="宋体" w:cs="宋体"/>
          <w:b/>
          <w:bCs/>
          <w:sz w:val="32"/>
          <w:szCs w:val="32"/>
          <w:highlight w:val="none"/>
        </w:rPr>
      </w:pPr>
    </w:p>
    <w:p w14:paraId="0A073D87">
      <w:pPr>
        <w:rPr>
          <w:rFonts w:hint="eastAsia" w:ascii="仿宋" w:hAnsi="仿宋" w:eastAsia="仿宋" w:cs="仿宋"/>
          <w:highlight w:val="none"/>
          <w:lang w:val="en-US" w:eastAsia="zh-CN"/>
        </w:rPr>
      </w:pPr>
      <w:r>
        <w:rPr>
          <w:rFonts w:hint="eastAsia" w:ascii="仿宋" w:hAnsi="仿宋" w:eastAsia="仿宋" w:cs="仿宋"/>
          <w:highlight w:val="none"/>
          <w:lang w:val="en-US" w:eastAsia="zh-CN"/>
        </w:rPr>
        <w:br w:type="page"/>
      </w:r>
    </w:p>
    <w:p w14:paraId="02ED4A5E">
      <w:pPr>
        <w:pStyle w:val="20"/>
        <w:rPr>
          <w:rFonts w:ascii="仿宋" w:hAnsi="仿宋" w:eastAsia="仿宋" w:cs="仿宋"/>
          <w:szCs w:val="36"/>
        </w:rPr>
      </w:pPr>
      <w:r>
        <w:rPr>
          <w:rFonts w:ascii="仿宋" w:hAnsi="仿宋" w:eastAsia="仿宋" w:cs="仿宋"/>
        </w:rPr>
        <w:t>招标概况</w:t>
      </w:r>
    </w:p>
    <w:p w14:paraId="7323F2A8">
      <w:pPr>
        <w:pStyle w:val="21"/>
        <w:rPr>
          <w:rFonts w:ascii="仿宋" w:hAnsi="仿宋" w:eastAsia="仿宋" w:cs="仿宋"/>
        </w:rPr>
      </w:pPr>
      <w:r>
        <w:rPr>
          <w:rFonts w:ascii="仿宋" w:hAnsi="仿宋" w:eastAsia="仿宋" w:cs="仿宋"/>
        </w:rPr>
        <w:t>一、项目基本情况</w:t>
      </w:r>
    </w:p>
    <w:p w14:paraId="56AC0A25">
      <w:pPr>
        <w:pStyle w:val="22"/>
        <w:numPr>
          <w:ilvl w:val="0"/>
          <w:numId w:val="1"/>
        </w:numPr>
        <w:ind w:firstLineChars="0"/>
        <w:rPr>
          <w:rFonts w:ascii="仿宋" w:hAnsi="仿宋" w:eastAsia="仿宋" w:cs="仿宋"/>
        </w:rPr>
      </w:pPr>
      <w:r>
        <w:rPr>
          <w:rFonts w:ascii="仿宋" w:hAnsi="仿宋" w:eastAsia="仿宋" w:cs="仿宋"/>
        </w:rPr>
        <w:t>项目名称：</w:t>
      </w:r>
      <w:r>
        <w:rPr>
          <w:rFonts w:hint="eastAsia" w:ascii="仿宋" w:hAnsi="仿宋" w:eastAsia="仿宋" w:cs="仿宋"/>
        </w:rPr>
        <w:t>湖州学院变配电设备维保服务采购项目</w:t>
      </w:r>
      <w:r>
        <w:rPr>
          <w:rFonts w:ascii="仿宋" w:hAnsi="仿宋" w:eastAsia="仿宋" w:cs="仿宋"/>
        </w:rPr>
        <w:t>；</w:t>
      </w:r>
    </w:p>
    <w:p w14:paraId="5EA84132">
      <w:pPr>
        <w:pStyle w:val="22"/>
        <w:numPr>
          <w:ilvl w:val="0"/>
          <w:numId w:val="1"/>
        </w:numPr>
        <w:ind w:firstLineChars="0"/>
        <w:rPr>
          <w:rFonts w:ascii="仿宋" w:hAnsi="仿宋" w:eastAsia="仿宋" w:cs="仿宋"/>
        </w:rPr>
      </w:pPr>
      <w:r>
        <w:rPr>
          <w:rFonts w:ascii="仿宋" w:hAnsi="仿宋" w:eastAsia="仿宋" w:cs="仿宋"/>
        </w:rPr>
        <w:t>采购编号：</w:t>
      </w:r>
      <w:r>
        <w:rPr>
          <w:rFonts w:ascii="仿宋" w:hAnsi="仿宋" w:eastAsia="仿宋" w:cs="仿宋"/>
          <w:highlight w:val="none"/>
        </w:rPr>
        <w:t>XZ202</w:t>
      </w:r>
      <w:r>
        <w:rPr>
          <w:rFonts w:hint="eastAsia" w:ascii="仿宋" w:hAnsi="仿宋" w:eastAsia="仿宋" w:cs="仿宋"/>
          <w:highlight w:val="none"/>
          <w:lang w:val="en-US" w:eastAsia="zh-CN"/>
        </w:rPr>
        <w:t>6005</w:t>
      </w:r>
      <w:r>
        <w:rPr>
          <w:rFonts w:ascii="仿宋" w:hAnsi="仿宋" w:eastAsia="仿宋" w:cs="仿宋"/>
          <w:highlight w:val="none"/>
        </w:rPr>
        <w:t>A</w:t>
      </w:r>
      <w:r>
        <w:rPr>
          <w:rFonts w:ascii="仿宋" w:hAnsi="仿宋" w:eastAsia="仿宋" w:cs="仿宋"/>
        </w:rPr>
        <w:t>；</w:t>
      </w:r>
    </w:p>
    <w:p w14:paraId="4A2DE3D3">
      <w:pPr>
        <w:pStyle w:val="22"/>
        <w:numPr>
          <w:ilvl w:val="0"/>
          <w:numId w:val="1"/>
        </w:numPr>
        <w:ind w:firstLineChars="0"/>
        <w:rPr>
          <w:rFonts w:ascii="仿宋" w:hAnsi="仿宋" w:eastAsia="仿宋" w:cs="仿宋"/>
        </w:rPr>
      </w:pPr>
      <w:r>
        <w:rPr>
          <w:rFonts w:ascii="仿宋" w:hAnsi="仿宋" w:eastAsia="仿宋" w:cs="仿宋"/>
        </w:rPr>
        <w:t>采购方式：校内公开招标；</w:t>
      </w:r>
    </w:p>
    <w:p w14:paraId="42EFE7ED">
      <w:pPr>
        <w:pStyle w:val="22"/>
        <w:numPr>
          <w:ilvl w:val="0"/>
          <w:numId w:val="1"/>
        </w:numPr>
        <w:ind w:firstLineChars="0"/>
        <w:rPr>
          <w:rFonts w:ascii="仿宋" w:hAnsi="仿宋" w:eastAsia="仿宋" w:cs="仿宋"/>
        </w:rPr>
      </w:pPr>
      <w:r>
        <w:rPr>
          <w:rFonts w:ascii="仿宋" w:hAnsi="仿宋" w:eastAsia="仿宋" w:cs="仿宋"/>
        </w:rPr>
        <w:t>采购预算（最高限价）：人民币拾万元整（￥</w:t>
      </w:r>
      <w:r>
        <w:rPr>
          <w:rFonts w:hint="eastAsia" w:ascii="仿宋" w:hAnsi="仿宋" w:eastAsia="仿宋" w:cs="仿宋"/>
          <w:lang w:val="en-US" w:eastAsia="zh-CN"/>
        </w:rPr>
        <w:t>100000</w:t>
      </w:r>
      <w:r>
        <w:rPr>
          <w:rFonts w:ascii="仿宋" w:hAnsi="仿宋" w:eastAsia="仿宋" w:cs="仿宋"/>
        </w:rPr>
        <w:t>.00）；</w:t>
      </w:r>
    </w:p>
    <w:p w14:paraId="2E8AB190">
      <w:pPr>
        <w:pStyle w:val="22"/>
        <w:numPr>
          <w:ilvl w:val="0"/>
          <w:numId w:val="1"/>
        </w:numPr>
        <w:ind w:firstLineChars="0"/>
        <w:rPr>
          <w:rFonts w:ascii="仿宋" w:hAnsi="仿宋" w:eastAsia="仿宋" w:cs="仿宋"/>
        </w:rPr>
      </w:pPr>
      <w:r>
        <w:rPr>
          <w:rFonts w:ascii="仿宋" w:hAnsi="仿宋" w:eastAsia="仿宋" w:cs="仿宋"/>
        </w:rPr>
        <w:t>服务期限：</w:t>
      </w:r>
      <w:r>
        <w:rPr>
          <w:rFonts w:hint="eastAsia" w:ascii="仿宋" w:hAnsi="仿宋" w:eastAsia="仿宋" w:cs="仿宋"/>
          <w:highlight w:val="none"/>
          <w:lang w:val="en-US" w:eastAsia="zh-CN"/>
        </w:rPr>
        <w:t>自合同签订之日起</w:t>
      </w:r>
      <w:r>
        <w:rPr>
          <w:rFonts w:hint="eastAsia" w:ascii="仿宋" w:hAnsi="仿宋" w:eastAsia="仿宋" w:cs="仿宋"/>
          <w:highlight w:val="none"/>
        </w:rPr>
        <w:t>-2027年6月30日</w:t>
      </w:r>
      <w:r>
        <w:rPr>
          <w:rFonts w:ascii="仿宋" w:hAnsi="仿宋" w:eastAsia="仿宋" w:cs="仿宋"/>
        </w:rPr>
        <w:t>；</w:t>
      </w:r>
    </w:p>
    <w:p w14:paraId="58601FCB">
      <w:pPr>
        <w:pStyle w:val="22"/>
        <w:numPr>
          <w:ilvl w:val="0"/>
          <w:numId w:val="1"/>
        </w:numPr>
        <w:ind w:firstLineChars="0"/>
        <w:rPr>
          <w:rFonts w:ascii="仿宋" w:hAnsi="仿宋" w:eastAsia="仿宋" w:cs="仿宋"/>
        </w:rPr>
      </w:pPr>
      <w:r>
        <w:rPr>
          <w:rFonts w:ascii="仿宋" w:hAnsi="仿宋" w:eastAsia="仿宋" w:cs="仿宋"/>
        </w:rPr>
        <w:t>采购需求：详见招标文件</w:t>
      </w:r>
      <w:r>
        <w:rPr>
          <w:rFonts w:hint="eastAsia" w:ascii="仿宋" w:hAnsi="仿宋" w:eastAsia="仿宋" w:cs="仿宋"/>
          <w:lang w:val="en-US" w:eastAsia="zh-CN"/>
        </w:rPr>
        <w:t>第二章</w:t>
      </w:r>
      <w:r>
        <w:rPr>
          <w:rFonts w:ascii="仿宋" w:hAnsi="仿宋" w:eastAsia="仿宋" w:cs="仿宋"/>
        </w:rPr>
        <w:t>采购需求部分。</w:t>
      </w:r>
    </w:p>
    <w:p w14:paraId="12C152AE">
      <w:pPr>
        <w:pStyle w:val="21"/>
        <w:rPr>
          <w:rFonts w:ascii="仿宋" w:hAnsi="仿宋" w:eastAsia="仿宋" w:cs="仿宋"/>
        </w:rPr>
      </w:pPr>
      <w:r>
        <w:rPr>
          <w:rFonts w:ascii="仿宋" w:hAnsi="仿宋" w:eastAsia="仿宋" w:cs="仿宋"/>
        </w:rPr>
        <w:t>二、投标人资格要求</w:t>
      </w:r>
    </w:p>
    <w:p w14:paraId="7FB93A96">
      <w:pPr>
        <w:pStyle w:val="22"/>
        <w:ind w:firstLine="420" w:firstLineChars="0"/>
        <w:rPr>
          <w:rFonts w:ascii="仿宋" w:hAnsi="仿宋" w:eastAsia="仿宋" w:cs="仿宋"/>
          <w:b/>
          <w:bCs/>
        </w:rPr>
      </w:pPr>
      <w:r>
        <w:rPr>
          <w:rFonts w:ascii="仿宋" w:hAnsi="仿宋" w:eastAsia="仿宋" w:cs="仿宋"/>
          <w:b/>
          <w:bCs/>
        </w:rPr>
        <w:t>（一）一般资格要求：</w:t>
      </w:r>
    </w:p>
    <w:p w14:paraId="04F62FB3">
      <w:pPr>
        <w:pStyle w:val="22"/>
        <w:numPr>
          <w:ilvl w:val="0"/>
          <w:numId w:val="2"/>
        </w:numPr>
        <w:ind w:firstLineChars="0"/>
        <w:rPr>
          <w:rFonts w:ascii="仿宋" w:hAnsi="仿宋" w:eastAsia="仿宋" w:cs="仿宋"/>
        </w:rPr>
      </w:pPr>
      <w:r>
        <w:rPr>
          <w:rFonts w:ascii="仿宋" w:hAnsi="仿宋" w:eastAsia="仿宋" w:cs="仿宋"/>
        </w:rPr>
        <w:t>具有独立承担民事责任的能力；</w:t>
      </w:r>
    </w:p>
    <w:p w14:paraId="65FDF2D5">
      <w:pPr>
        <w:pStyle w:val="22"/>
        <w:numPr>
          <w:ilvl w:val="0"/>
          <w:numId w:val="2"/>
        </w:numPr>
        <w:ind w:firstLineChars="0"/>
        <w:rPr>
          <w:rFonts w:ascii="仿宋" w:hAnsi="仿宋" w:eastAsia="仿宋" w:cs="仿宋"/>
        </w:rPr>
      </w:pPr>
      <w:r>
        <w:rPr>
          <w:rFonts w:ascii="仿宋" w:hAnsi="仿宋" w:eastAsia="仿宋" w:cs="仿宋"/>
        </w:rPr>
        <w:t>具有良好的商业信誉和健全的财务会计制度；</w:t>
      </w:r>
    </w:p>
    <w:p w14:paraId="02197098">
      <w:pPr>
        <w:pStyle w:val="22"/>
        <w:numPr>
          <w:ilvl w:val="0"/>
          <w:numId w:val="2"/>
        </w:numPr>
        <w:ind w:firstLineChars="0"/>
        <w:rPr>
          <w:rFonts w:ascii="仿宋" w:hAnsi="仿宋" w:eastAsia="仿宋" w:cs="仿宋"/>
        </w:rPr>
      </w:pPr>
      <w:r>
        <w:rPr>
          <w:rFonts w:ascii="仿宋" w:hAnsi="仿宋" w:eastAsia="仿宋" w:cs="仿宋"/>
        </w:rPr>
        <w:t>具有履行合同所必需的设备和专业技术能力；</w:t>
      </w:r>
    </w:p>
    <w:p w14:paraId="20E0E6DB">
      <w:pPr>
        <w:pStyle w:val="22"/>
        <w:numPr>
          <w:ilvl w:val="0"/>
          <w:numId w:val="2"/>
        </w:numPr>
        <w:ind w:firstLineChars="0"/>
        <w:rPr>
          <w:rFonts w:ascii="仿宋" w:hAnsi="仿宋" w:eastAsia="仿宋" w:cs="仿宋"/>
        </w:rPr>
      </w:pPr>
      <w:r>
        <w:rPr>
          <w:rFonts w:ascii="仿宋" w:hAnsi="仿宋" w:eastAsia="仿宋" w:cs="仿宋"/>
        </w:rPr>
        <w:t>有依法缴纳税收和社会保障资金的良好记录；</w:t>
      </w:r>
    </w:p>
    <w:p w14:paraId="758C9EB3">
      <w:pPr>
        <w:pStyle w:val="22"/>
        <w:numPr>
          <w:ilvl w:val="0"/>
          <w:numId w:val="2"/>
        </w:numPr>
        <w:ind w:firstLineChars="0"/>
        <w:rPr>
          <w:rFonts w:ascii="仿宋" w:hAnsi="仿宋" w:eastAsia="仿宋" w:cs="仿宋"/>
        </w:rPr>
      </w:pPr>
      <w:r>
        <w:rPr>
          <w:rFonts w:ascii="仿宋" w:hAnsi="仿宋" w:eastAsia="仿宋" w:cs="仿宋"/>
        </w:rPr>
        <w:t>参加投标活动前三年内，在经营活动中没有重大违法记录。</w:t>
      </w:r>
    </w:p>
    <w:p w14:paraId="61C44497">
      <w:pPr>
        <w:pStyle w:val="22"/>
        <w:ind w:firstLine="420" w:firstLineChars="0"/>
        <w:rPr>
          <w:rFonts w:ascii="仿宋" w:hAnsi="仿宋" w:eastAsia="仿宋" w:cs="仿宋"/>
          <w:b/>
          <w:bCs/>
        </w:rPr>
      </w:pPr>
      <w:r>
        <w:rPr>
          <w:rFonts w:ascii="仿宋" w:hAnsi="仿宋" w:eastAsia="仿宋" w:cs="仿宋"/>
          <w:b/>
          <w:bCs/>
        </w:rPr>
        <w:t>（二）特定资格要求：</w:t>
      </w:r>
    </w:p>
    <w:p w14:paraId="16296623">
      <w:pPr>
        <w:spacing w:line="520" w:lineRule="exact"/>
        <w:ind w:firstLine="480" w:firstLineChars="2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供应商须具备有效的输变电工程专业承包三级及以上或电力工程施工总承包三级及以上资质或机电工程施工总承包三级及以上资质或建筑机电安装工程专业承包二级及以上资质，具有有效的安全生产许</w:t>
      </w:r>
      <w:r>
        <w:rPr>
          <w:rFonts w:hint="eastAsia" w:ascii="仿宋" w:hAnsi="仿宋" w:eastAsia="仿宋" w:cs="仿宋"/>
          <w:kern w:val="2"/>
          <w:sz w:val="24"/>
          <w:szCs w:val="24"/>
          <w:highlight w:val="none"/>
          <w:lang w:val="en-US" w:eastAsia="zh-CN" w:bidi="ar-SA"/>
        </w:rPr>
        <w:t>可证；或具备有效的《承装（修、试）电力设施许可证》三级及以上。</w:t>
      </w:r>
    </w:p>
    <w:p w14:paraId="682EF5E1">
      <w:pPr>
        <w:pStyle w:val="22"/>
        <w:ind w:firstLine="420" w:firstLineChars="0"/>
        <w:rPr>
          <w:rFonts w:ascii="仿宋" w:hAnsi="仿宋" w:eastAsia="仿宋" w:cs="仿宋"/>
          <w:b/>
          <w:bCs/>
        </w:rPr>
      </w:pPr>
      <w:r>
        <w:rPr>
          <w:rFonts w:ascii="仿宋" w:hAnsi="仿宋" w:eastAsia="仿宋" w:cs="仿宋"/>
          <w:b/>
          <w:bCs/>
        </w:rPr>
        <w:t>（三）其他说明：</w:t>
      </w:r>
    </w:p>
    <w:p w14:paraId="0CAE382D">
      <w:pPr>
        <w:pStyle w:val="22"/>
        <w:numPr>
          <w:ilvl w:val="0"/>
          <w:numId w:val="3"/>
        </w:numPr>
        <w:ind w:firstLineChars="0"/>
        <w:rPr>
          <w:rFonts w:ascii="仿宋" w:hAnsi="仿宋" w:eastAsia="仿宋" w:cs="仿宋"/>
        </w:rPr>
      </w:pPr>
      <w:r>
        <w:rPr>
          <w:rFonts w:ascii="仿宋" w:hAnsi="仿宋" w:eastAsia="仿宋" w:cs="仿宋"/>
        </w:rPr>
        <w:t>单位负责人为同一人或者存在直接控股、管理关系的不同供应商，不得参加同一合同项目下的政府采购活动；</w:t>
      </w:r>
    </w:p>
    <w:p w14:paraId="76D0938B">
      <w:pPr>
        <w:pStyle w:val="22"/>
        <w:numPr>
          <w:ilvl w:val="0"/>
          <w:numId w:val="3"/>
        </w:numPr>
        <w:ind w:firstLineChars="0"/>
        <w:rPr>
          <w:rFonts w:ascii="仿宋" w:hAnsi="仿宋" w:eastAsia="仿宋" w:cs="仿宋"/>
        </w:rPr>
      </w:pPr>
      <w:r>
        <w:rPr>
          <w:rFonts w:ascii="仿宋" w:hAnsi="仿宋" w:eastAsia="仿宋" w:cs="仿宋"/>
        </w:rPr>
        <w:t>供应商书面承诺符合参与采购活动资格条件的，不需要再提供财务状况报告、依法缴纳税收和社会保障资金记录、无重大违法记录等证明材料；</w:t>
      </w:r>
    </w:p>
    <w:p w14:paraId="7E7FD17D">
      <w:pPr>
        <w:pStyle w:val="22"/>
        <w:numPr>
          <w:ilvl w:val="0"/>
          <w:numId w:val="3"/>
        </w:numPr>
        <w:ind w:firstLineChars="0"/>
        <w:rPr>
          <w:rFonts w:ascii="仿宋" w:hAnsi="仿宋" w:eastAsia="仿宋" w:cs="仿宋"/>
          <w:b/>
          <w:bCs/>
        </w:rPr>
      </w:pPr>
      <w:r>
        <w:rPr>
          <w:rFonts w:ascii="仿宋" w:hAnsi="仿宋" w:eastAsia="仿宋" w:cs="仿宋"/>
          <w:b/>
          <w:bCs/>
        </w:rPr>
        <w:t>本次招标不支持联合体投标或代理投标，不接受分包及备选方案。否则视为无效投标。</w:t>
      </w:r>
    </w:p>
    <w:p w14:paraId="55F1003E">
      <w:pPr>
        <w:pStyle w:val="21"/>
        <w:rPr>
          <w:rFonts w:ascii="仿宋" w:hAnsi="仿宋" w:eastAsia="仿宋" w:cs="仿宋"/>
        </w:rPr>
      </w:pPr>
      <w:r>
        <w:rPr>
          <w:rFonts w:ascii="仿宋" w:hAnsi="仿宋" w:eastAsia="仿宋" w:cs="仿宋"/>
        </w:rPr>
        <w:t>三、投标文件要求</w:t>
      </w:r>
    </w:p>
    <w:p w14:paraId="62AF7767">
      <w:pPr>
        <w:pStyle w:val="22"/>
        <w:ind w:firstLine="420" w:firstLineChars="0"/>
        <w:rPr>
          <w:rFonts w:ascii="仿宋" w:hAnsi="仿宋" w:eastAsia="仿宋" w:cs="仿宋"/>
          <w:b/>
          <w:bCs/>
        </w:rPr>
      </w:pPr>
      <w:r>
        <w:rPr>
          <w:rFonts w:ascii="仿宋" w:hAnsi="仿宋" w:eastAsia="仿宋" w:cs="仿宋"/>
          <w:b/>
          <w:bCs/>
        </w:rPr>
        <w:t>（一）投标文件要求：</w:t>
      </w:r>
    </w:p>
    <w:p w14:paraId="567D4350">
      <w:pPr>
        <w:pStyle w:val="22"/>
        <w:ind w:firstLine="420" w:firstLineChars="0"/>
        <w:rPr>
          <w:rFonts w:ascii="仿宋" w:hAnsi="仿宋" w:eastAsia="仿宋" w:cs="仿宋"/>
        </w:rPr>
      </w:pPr>
      <w:r>
        <w:rPr>
          <w:rFonts w:ascii="仿宋" w:hAnsi="仿宋" w:eastAsia="仿宋" w:cs="仿宋"/>
          <w:b/>
          <w:bCs/>
        </w:rPr>
        <w:t>投标文件由《资格文件》《技术商务文件》和《报价文件》三部分组成，投标人应按《资格文件》《技术商务文件》和《报价文件》正本各1份、副本各1份编制，文件须密封并胶装成册，《报价文件》需单独密封，三部分文件封面及每一页均需加盖供应商公章。所有证件均须真实、</w:t>
      </w:r>
      <w:r>
        <w:rPr>
          <w:rFonts w:hint="eastAsia" w:ascii="仿宋" w:hAnsi="仿宋" w:eastAsia="仿宋" w:cs="仿宋"/>
          <w:b/>
          <w:bCs/>
          <w:lang w:val="en-US" w:eastAsia="zh-CN"/>
        </w:rPr>
        <w:t>合法、</w:t>
      </w:r>
      <w:r>
        <w:rPr>
          <w:rFonts w:ascii="仿宋" w:hAnsi="仿宋" w:eastAsia="仿宋" w:cs="仿宋"/>
          <w:b/>
          <w:bCs/>
        </w:rPr>
        <w:t>有效，原件、复印件均须加盖公章，缺少以上任意一部分内容即作无效标处理。</w:t>
      </w:r>
    </w:p>
    <w:p w14:paraId="008D7BE0">
      <w:pPr>
        <w:pStyle w:val="22"/>
        <w:ind w:firstLine="420" w:firstLineChars="0"/>
        <w:rPr>
          <w:rFonts w:ascii="仿宋" w:hAnsi="仿宋" w:eastAsia="仿宋" w:cs="仿宋"/>
          <w:b/>
          <w:bCs/>
        </w:rPr>
      </w:pPr>
      <w:r>
        <w:rPr>
          <w:rFonts w:ascii="仿宋" w:hAnsi="仿宋" w:eastAsia="仿宋" w:cs="仿宋"/>
          <w:b/>
          <w:bCs/>
        </w:rPr>
        <w:t>（二）资格文件：</w:t>
      </w:r>
    </w:p>
    <w:p w14:paraId="677A1CFF">
      <w:pPr>
        <w:pStyle w:val="22"/>
        <w:numPr>
          <w:ilvl w:val="0"/>
          <w:numId w:val="4"/>
        </w:numPr>
        <w:ind w:firstLineChars="0"/>
        <w:rPr>
          <w:rFonts w:ascii="仿宋" w:hAnsi="仿宋" w:eastAsia="仿宋" w:cs="仿宋"/>
        </w:rPr>
      </w:pPr>
      <w:r>
        <w:rPr>
          <w:rFonts w:ascii="仿宋" w:hAnsi="仿宋" w:eastAsia="仿宋" w:cs="仿宋"/>
        </w:rPr>
        <w:t>有效的营业执照</w:t>
      </w:r>
      <w:r>
        <w:rPr>
          <w:rFonts w:hint="eastAsia" w:ascii="仿宋" w:hAnsi="仿宋" w:eastAsia="仿宋" w:cs="仿宋"/>
          <w:lang w:val="en-US" w:eastAsia="zh-CN"/>
        </w:rPr>
        <w:t>正本</w:t>
      </w:r>
      <w:r>
        <w:rPr>
          <w:rFonts w:ascii="仿宋" w:hAnsi="仿宋" w:eastAsia="仿宋" w:cs="仿宋"/>
        </w:rPr>
        <w:t>复印件，非法人企业需提供其他证明材料（加盖公章）；</w:t>
      </w:r>
    </w:p>
    <w:p w14:paraId="1500ACC7">
      <w:pPr>
        <w:pStyle w:val="22"/>
        <w:numPr>
          <w:ilvl w:val="0"/>
          <w:numId w:val="4"/>
        </w:numPr>
        <w:ind w:firstLineChars="0"/>
        <w:rPr>
          <w:rFonts w:ascii="仿宋" w:hAnsi="仿宋" w:eastAsia="仿宋" w:cs="仿宋"/>
        </w:rPr>
      </w:pPr>
      <w:r>
        <w:rPr>
          <w:rFonts w:ascii="仿宋" w:hAnsi="仿宋" w:eastAsia="仿宋" w:cs="仿宋"/>
        </w:rPr>
        <w:t>提供自采购公告发布之日起至开标截止时间止的“信用中国”网站（www.creditchina.gov.cn）、中国政府采购网（www.ccgp.gov.cn）、“浙江政府采购网”（www.zjzfcg.gov.cn）投标人信用查询网页截图（至少提供2个网站的截图；以开标当日采购人核实的查询结果为准）；</w:t>
      </w:r>
    </w:p>
    <w:p w14:paraId="6C5AD16C">
      <w:pPr>
        <w:pStyle w:val="22"/>
        <w:numPr>
          <w:ilvl w:val="0"/>
          <w:numId w:val="4"/>
        </w:numPr>
        <w:ind w:firstLineChars="0"/>
        <w:rPr>
          <w:rFonts w:ascii="仿宋" w:hAnsi="仿宋" w:eastAsia="仿宋" w:cs="仿宋"/>
        </w:rPr>
      </w:pPr>
      <w:r>
        <w:rPr>
          <w:rFonts w:ascii="仿宋" w:hAnsi="仿宋" w:eastAsia="仿宋" w:cs="仿宋"/>
        </w:rPr>
        <w:t>法定代表人身份证复印件（加盖公章）；如非法定代表人参与开标，需额外提供法定代表人授权委托书原件（加盖公章）、授权委托人身份证复印件（加盖公章）；</w:t>
      </w:r>
    </w:p>
    <w:p w14:paraId="21DB5201">
      <w:pPr>
        <w:pStyle w:val="22"/>
        <w:numPr>
          <w:ilvl w:val="0"/>
          <w:numId w:val="4"/>
        </w:numPr>
        <w:ind w:firstLineChars="0"/>
        <w:rPr>
          <w:rFonts w:ascii="仿宋" w:hAnsi="仿宋" w:eastAsia="仿宋" w:cs="仿宋"/>
        </w:rPr>
      </w:pPr>
      <w:r>
        <w:rPr>
          <w:rFonts w:ascii="仿宋" w:hAnsi="仿宋" w:eastAsia="仿宋" w:cs="仿宋"/>
        </w:rPr>
        <w:t>最近三个月内任意一个月的依法缴纳</w:t>
      </w:r>
      <w:r>
        <w:rPr>
          <w:rFonts w:ascii="仿宋" w:hAnsi="仿宋" w:eastAsia="仿宋" w:cs="仿宋"/>
          <w:b/>
          <w:bCs/>
        </w:rPr>
        <w:t>税收</w:t>
      </w:r>
      <w:r>
        <w:rPr>
          <w:rFonts w:ascii="仿宋" w:hAnsi="仿宋" w:eastAsia="仿宋" w:cs="仿宋"/>
        </w:rPr>
        <w:t>和</w:t>
      </w:r>
      <w:r>
        <w:rPr>
          <w:rFonts w:ascii="仿宋" w:hAnsi="仿宋" w:eastAsia="仿宋" w:cs="仿宋"/>
          <w:b/>
          <w:bCs/>
        </w:rPr>
        <w:t>社保证明</w:t>
      </w:r>
      <w:r>
        <w:rPr>
          <w:rFonts w:ascii="仿宋" w:hAnsi="仿宋" w:eastAsia="仿宋" w:cs="仿宋"/>
        </w:rPr>
        <w:t>（税费凭证复印件，或者依法缴纳税费或依法免缴税费的证明）；</w:t>
      </w:r>
    </w:p>
    <w:p w14:paraId="61992C8B">
      <w:pPr>
        <w:pStyle w:val="22"/>
        <w:numPr>
          <w:ilvl w:val="0"/>
          <w:numId w:val="4"/>
        </w:numPr>
        <w:ind w:firstLineChars="0"/>
        <w:rPr>
          <w:rFonts w:ascii="仿宋" w:hAnsi="仿宋" w:eastAsia="仿宋" w:cs="仿宋"/>
        </w:rPr>
      </w:pPr>
      <w:r>
        <w:rPr>
          <w:rFonts w:ascii="仿宋" w:hAnsi="仿宋" w:eastAsia="仿宋" w:cs="仿宋"/>
        </w:rPr>
        <w:t>投标声明书；</w:t>
      </w:r>
    </w:p>
    <w:p w14:paraId="2155B81D">
      <w:pPr>
        <w:pStyle w:val="22"/>
        <w:numPr>
          <w:ilvl w:val="0"/>
          <w:numId w:val="4"/>
        </w:numPr>
        <w:ind w:firstLineChars="0"/>
        <w:rPr>
          <w:rFonts w:ascii="仿宋" w:hAnsi="仿宋" w:eastAsia="仿宋" w:cs="仿宋"/>
          <w:highlight w:val="none"/>
        </w:rPr>
      </w:pPr>
      <w:r>
        <w:rPr>
          <w:rFonts w:hint="eastAsia" w:ascii="仿宋" w:hAnsi="仿宋" w:eastAsia="仿宋" w:cs="仿宋"/>
          <w:kern w:val="2"/>
          <w:sz w:val="24"/>
          <w:szCs w:val="24"/>
          <w:highlight w:val="none"/>
          <w:lang w:val="en-US" w:eastAsia="zh-CN" w:bidi="ar-SA"/>
        </w:rPr>
        <w:t>有效的输变电工程专业承</w:t>
      </w:r>
      <w:bookmarkStart w:id="2" w:name="_GoBack"/>
      <w:bookmarkEnd w:id="2"/>
      <w:r>
        <w:rPr>
          <w:rFonts w:hint="eastAsia" w:ascii="仿宋" w:hAnsi="仿宋" w:eastAsia="仿宋" w:cs="仿宋"/>
          <w:kern w:val="2"/>
          <w:sz w:val="24"/>
          <w:szCs w:val="24"/>
          <w:highlight w:val="none"/>
          <w:lang w:val="en-US" w:eastAsia="zh-CN" w:bidi="ar-SA"/>
        </w:rPr>
        <w:t>包三级及以上或电力工程施工总承包三级及以上资质或机电工程施工总承包三级及以上资质或建筑机电安装工程专业承包二级及以上资质，有效的安全生产许可证；</w:t>
      </w:r>
      <w:r>
        <w:rPr>
          <w:rFonts w:hint="eastAsia" w:ascii="仿宋" w:hAnsi="仿宋" w:eastAsia="仿宋" w:cs="仿宋"/>
          <w:kern w:val="2"/>
          <w:sz w:val="24"/>
          <w:szCs w:val="24"/>
          <w:highlight w:val="none"/>
          <w:lang w:val="en-US" w:eastAsia="zh-CN" w:bidi="ar-SA"/>
        </w:rPr>
        <w:t xml:space="preserve">或有效的《承装（修、试）电力设施许可证》三级及以上。 </w:t>
      </w:r>
    </w:p>
    <w:p w14:paraId="3E3B0452">
      <w:pPr>
        <w:pStyle w:val="22"/>
        <w:numPr>
          <w:ilvl w:val="0"/>
          <w:numId w:val="0"/>
        </w:numPr>
        <w:ind w:firstLine="480" w:firstLineChars="200"/>
        <w:rPr>
          <w:rFonts w:ascii="仿宋" w:hAnsi="仿宋" w:eastAsia="仿宋" w:cs="仿宋"/>
        </w:rPr>
      </w:pPr>
      <w:r>
        <w:rPr>
          <w:rFonts w:hint="eastAsia" w:ascii="楷体" w:hAnsi="楷体" w:eastAsia="楷体" w:cs="楷体"/>
          <w:i w:val="0"/>
          <w:iCs w:val="0"/>
          <w:caps w:val="0"/>
          <w:color w:val="333333"/>
          <w:spacing w:val="0"/>
          <w:sz w:val="24"/>
          <w:szCs w:val="24"/>
          <w:shd w:val="clear" w:fill="FFFFFF"/>
          <w:lang w:val="en-US" w:eastAsia="zh-CN"/>
        </w:rPr>
        <w:t>注：</w:t>
      </w:r>
      <w:r>
        <w:rPr>
          <w:rFonts w:ascii="楷体" w:hAnsi="楷体" w:eastAsia="楷体" w:cs="楷体"/>
          <w:i w:val="0"/>
          <w:iCs w:val="0"/>
          <w:caps w:val="0"/>
          <w:color w:val="333333"/>
          <w:spacing w:val="0"/>
          <w:sz w:val="24"/>
          <w:szCs w:val="24"/>
          <w:shd w:val="clear" w:fill="FFFFFF"/>
        </w:rPr>
        <w:t>供应商资格认定由采购事务中心进行初审，最终由评审委员会根据投标文件认定</w:t>
      </w:r>
    </w:p>
    <w:p w14:paraId="196DC37E">
      <w:pPr>
        <w:pStyle w:val="22"/>
        <w:ind w:firstLine="420" w:firstLineChars="0"/>
        <w:rPr>
          <w:rFonts w:ascii="仿宋" w:hAnsi="仿宋" w:eastAsia="仿宋" w:cs="仿宋"/>
          <w:b/>
          <w:bCs/>
        </w:rPr>
      </w:pPr>
      <w:r>
        <w:rPr>
          <w:rFonts w:ascii="仿宋" w:hAnsi="仿宋" w:eastAsia="仿宋" w:cs="仿宋"/>
          <w:b/>
          <w:bCs/>
        </w:rPr>
        <w:t>（三）技术商务文件：</w:t>
      </w:r>
    </w:p>
    <w:p w14:paraId="5B9F26BF">
      <w:pPr>
        <w:pStyle w:val="22"/>
        <w:numPr>
          <w:ilvl w:val="0"/>
          <w:numId w:val="5"/>
        </w:numPr>
        <w:ind w:firstLineChars="0"/>
        <w:rPr>
          <w:rFonts w:ascii="仿宋" w:hAnsi="仿宋" w:eastAsia="仿宋" w:cs="仿宋"/>
        </w:rPr>
      </w:pPr>
      <w:r>
        <w:rPr>
          <w:rFonts w:ascii="仿宋" w:hAnsi="仿宋" w:eastAsia="仿宋" w:cs="仿宋"/>
        </w:rPr>
        <w:t>评分索引表</w:t>
      </w:r>
    </w:p>
    <w:p w14:paraId="3D06D9E4">
      <w:pPr>
        <w:pStyle w:val="22"/>
        <w:numPr>
          <w:ilvl w:val="0"/>
          <w:numId w:val="5"/>
        </w:numPr>
        <w:ind w:firstLineChars="0"/>
        <w:rPr>
          <w:rFonts w:ascii="仿宋" w:hAnsi="仿宋" w:eastAsia="仿宋" w:cs="仿宋"/>
        </w:rPr>
      </w:pPr>
      <w:r>
        <w:rPr>
          <w:rFonts w:ascii="仿宋" w:hAnsi="仿宋" w:eastAsia="仿宋" w:cs="仿宋"/>
        </w:rPr>
        <w:t>需求响应表</w:t>
      </w:r>
    </w:p>
    <w:p w14:paraId="6A66223C">
      <w:pPr>
        <w:pStyle w:val="22"/>
        <w:numPr>
          <w:ilvl w:val="0"/>
          <w:numId w:val="5"/>
        </w:numPr>
        <w:ind w:firstLineChars="0"/>
        <w:rPr>
          <w:rFonts w:ascii="仿宋" w:hAnsi="仿宋" w:eastAsia="仿宋" w:cs="仿宋"/>
        </w:rPr>
      </w:pPr>
      <w:r>
        <w:rPr>
          <w:rFonts w:ascii="仿宋" w:hAnsi="仿宋" w:eastAsia="仿宋" w:cs="仿宋"/>
        </w:rPr>
        <w:t>商务响应表</w:t>
      </w:r>
    </w:p>
    <w:p w14:paraId="04932E5A">
      <w:pPr>
        <w:pStyle w:val="22"/>
        <w:numPr>
          <w:ilvl w:val="0"/>
          <w:numId w:val="5"/>
        </w:numPr>
        <w:ind w:firstLineChars="0"/>
        <w:rPr>
          <w:rFonts w:ascii="仿宋" w:hAnsi="仿宋" w:eastAsia="仿宋" w:cs="仿宋"/>
        </w:rPr>
      </w:pPr>
      <w:r>
        <w:rPr>
          <w:rFonts w:hint="eastAsia" w:ascii="仿宋" w:hAnsi="仿宋" w:eastAsia="仿宋" w:cs="仿宋"/>
        </w:rPr>
        <w:t>维保方案与技术措施</w:t>
      </w:r>
      <w:r>
        <w:rPr>
          <w:rFonts w:hint="eastAsia" w:ascii="仿宋" w:hAnsi="仿宋" w:eastAsia="仿宋" w:cs="仿宋"/>
          <w:lang w:eastAsia="zh-CN"/>
        </w:rPr>
        <w:t>；</w:t>
      </w:r>
    </w:p>
    <w:p w14:paraId="3C11C1AF">
      <w:pPr>
        <w:pStyle w:val="22"/>
        <w:numPr>
          <w:ilvl w:val="0"/>
          <w:numId w:val="5"/>
        </w:numPr>
        <w:ind w:firstLineChars="0"/>
        <w:rPr>
          <w:rFonts w:ascii="仿宋" w:hAnsi="仿宋" w:eastAsia="仿宋" w:cs="仿宋"/>
        </w:rPr>
      </w:pPr>
      <w:r>
        <w:rPr>
          <w:rFonts w:hint="default" w:ascii="Times New Roman" w:hAnsi="Times New Roman" w:eastAsia="仿宋" w:cs="Times New Roman"/>
          <w:color w:val="auto"/>
          <w:sz w:val="24"/>
          <w:szCs w:val="24"/>
        </w:rPr>
        <w:t>质量管理体系与保证措施</w:t>
      </w:r>
      <w:r>
        <w:rPr>
          <w:rFonts w:hint="eastAsia" w:ascii="Times New Roman" w:hAnsi="Times New Roman" w:eastAsia="仿宋" w:cs="Times New Roman"/>
          <w:color w:val="auto"/>
          <w:sz w:val="24"/>
          <w:szCs w:val="24"/>
          <w:lang w:eastAsia="zh-CN"/>
        </w:rPr>
        <w:t>；</w:t>
      </w:r>
    </w:p>
    <w:p w14:paraId="562CBE4A">
      <w:pPr>
        <w:pStyle w:val="22"/>
        <w:numPr>
          <w:ilvl w:val="0"/>
          <w:numId w:val="5"/>
        </w:numPr>
        <w:ind w:firstLineChars="0"/>
        <w:rPr>
          <w:rFonts w:ascii="仿宋" w:hAnsi="仿宋" w:eastAsia="仿宋" w:cs="仿宋"/>
        </w:rPr>
      </w:pPr>
      <w:r>
        <w:rPr>
          <w:rFonts w:hint="default" w:ascii="Times New Roman" w:hAnsi="Times New Roman" w:eastAsia="仿宋" w:cs="Times New Roman"/>
          <w:color w:val="auto"/>
          <w:sz w:val="24"/>
          <w:szCs w:val="24"/>
        </w:rPr>
        <w:t>安全文明施工措施</w:t>
      </w:r>
      <w:r>
        <w:rPr>
          <w:rFonts w:hint="eastAsia" w:ascii="Times New Roman" w:hAnsi="Times New Roman" w:eastAsia="仿宋" w:cs="Times New Roman"/>
          <w:color w:val="auto"/>
          <w:sz w:val="24"/>
          <w:szCs w:val="24"/>
          <w:lang w:eastAsia="zh-CN"/>
        </w:rPr>
        <w:t>；</w:t>
      </w:r>
    </w:p>
    <w:p w14:paraId="207F8089">
      <w:pPr>
        <w:pStyle w:val="22"/>
        <w:numPr>
          <w:ilvl w:val="0"/>
          <w:numId w:val="5"/>
        </w:numPr>
        <w:ind w:firstLineChars="0"/>
        <w:rPr>
          <w:rFonts w:ascii="仿宋" w:hAnsi="仿宋" w:eastAsia="仿宋" w:cs="仿宋"/>
        </w:rPr>
      </w:pPr>
      <w:r>
        <w:rPr>
          <w:rFonts w:hint="default" w:ascii="Times New Roman" w:hAnsi="Times New Roman" w:eastAsia="仿宋" w:cs="Times New Roman"/>
          <w:color w:val="auto"/>
          <w:sz w:val="24"/>
          <w:szCs w:val="24"/>
          <w:lang w:eastAsia="zh-CN"/>
        </w:rPr>
        <w:t>项目</w:t>
      </w:r>
      <w:r>
        <w:rPr>
          <w:rFonts w:hint="default" w:ascii="Times New Roman" w:hAnsi="Times New Roman" w:eastAsia="仿宋" w:cs="Times New Roman"/>
          <w:color w:val="auto"/>
          <w:sz w:val="24"/>
          <w:szCs w:val="24"/>
        </w:rPr>
        <w:t>进度计划与措施</w:t>
      </w:r>
      <w:r>
        <w:rPr>
          <w:rFonts w:hint="eastAsia" w:ascii="Times New Roman" w:hAnsi="Times New Roman" w:eastAsia="仿宋" w:cs="Times New Roman"/>
          <w:color w:val="auto"/>
          <w:sz w:val="24"/>
          <w:szCs w:val="24"/>
          <w:lang w:eastAsia="zh-CN"/>
        </w:rPr>
        <w:t>；</w:t>
      </w:r>
    </w:p>
    <w:p w14:paraId="60E6774B">
      <w:pPr>
        <w:pStyle w:val="22"/>
        <w:numPr>
          <w:ilvl w:val="0"/>
          <w:numId w:val="5"/>
        </w:numPr>
        <w:ind w:firstLineChars="0"/>
        <w:rPr>
          <w:rFonts w:ascii="仿宋" w:hAnsi="仿宋" w:eastAsia="仿宋" w:cs="仿宋"/>
        </w:rPr>
      </w:pPr>
      <w:r>
        <w:rPr>
          <w:rFonts w:hint="default" w:ascii="Times New Roman" w:hAnsi="Times New Roman" w:eastAsia="仿宋" w:cs="Times New Roman"/>
          <w:color w:val="auto"/>
          <w:sz w:val="24"/>
          <w:szCs w:val="24"/>
        </w:rPr>
        <w:t>所投产品性能</w:t>
      </w:r>
      <w:r>
        <w:rPr>
          <w:rFonts w:hint="eastAsia" w:ascii="Times New Roman" w:hAnsi="Times New Roman" w:eastAsia="仿宋" w:cs="Times New Roman"/>
          <w:color w:val="auto"/>
          <w:sz w:val="24"/>
          <w:szCs w:val="24"/>
          <w:lang w:eastAsia="zh-CN"/>
        </w:rPr>
        <w:t>；</w:t>
      </w:r>
    </w:p>
    <w:p w14:paraId="4B4F00F8">
      <w:pPr>
        <w:pStyle w:val="22"/>
        <w:numPr>
          <w:ilvl w:val="0"/>
          <w:numId w:val="5"/>
        </w:numPr>
        <w:ind w:firstLineChars="0"/>
        <w:rPr>
          <w:rFonts w:ascii="仿宋" w:hAnsi="仿宋" w:eastAsia="仿宋" w:cs="仿宋"/>
        </w:rPr>
      </w:pPr>
      <w:r>
        <w:rPr>
          <w:rFonts w:hint="default" w:ascii="Times New Roman" w:hAnsi="Times New Roman" w:eastAsia="仿宋" w:cs="Times New Roman"/>
          <w:color w:val="auto"/>
          <w:sz w:val="24"/>
          <w:szCs w:val="24"/>
          <w:lang w:eastAsia="zh-CN"/>
        </w:rPr>
        <w:t>人员配置方案</w:t>
      </w:r>
      <w:r>
        <w:rPr>
          <w:rFonts w:hint="eastAsia" w:ascii="Times New Roman" w:hAnsi="Times New Roman" w:eastAsia="仿宋" w:cs="Times New Roman"/>
          <w:color w:val="auto"/>
          <w:sz w:val="24"/>
          <w:szCs w:val="24"/>
          <w:lang w:eastAsia="zh-CN"/>
        </w:rPr>
        <w:t>；</w:t>
      </w:r>
    </w:p>
    <w:p w14:paraId="498EA1CE">
      <w:pPr>
        <w:pStyle w:val="22"/>
        <w:numPr>
          <w:ilvl w:val="0"/>
          <w:numId w:val="5"/>
        </w:numPr>
        <w:ind w:firstLineChars="0"/>
        <w:rPr>
          <w:rFonts w:ascii="仿宋" w:hAnsi="仿宋" w:eastAsia="仿宋" w:cs="仿宋"/>
        </w:rPr>
      </w:pPr>
      <w:r>
        <w:rPr>
          <w:rFonts w:hint="default" w:ascii="Times New Roman" w:hAnsi="Times New Roman" w:eastAsia="仿宋" w:cs="Times New Roman"/>
          <w:color w:val="auto"/>
          <w:sz w:val="24"/>
          <w:szCs w:val="24"/>
        </w:rPr>
        <w:t>服务承诺</w:t>
      </w:r>
      <w:r>
        <w:rPr>
          <w:rFonts w:hint="default" w:ascii="Times New Roman" w:hAnsi="Times New Roman" w:eastAsia="仿宋" w:cs="Times New Roman"/>
          <w:color w:val="auto"/>
          <w:sz w:val="24"/>
          <w:szCs w:val="24"/>
          <w:lang w:eastAsia="zh-CN"/>
        </w:rPr>
        <w:t>及优惠承诺</w:t>
      </w:r>
      <w:r>
        <w:rPr>
          <w:rFonts w:hint="eastAsia" w:ascii="Times New Roman" w:hAnsi="Times New Roman" w:eastAsia="仿宋" w:cs="Times New Roman"/>
          <w:color w:val="auto"/>
          <w:sz w:val="24"/>
          <w:szCs w:val="24"/>
          <w:lang w:eastAsia="zh-CN"/>
        </w:rPr>
        <w:t>；</w:t>
      </w:r>
    </w:p>
    <w:p w14:paraId="7B0E188C">
      <w:pPr>
        <w:pStyle w:val="22"/>
        <w:numPr>
          <w:ilvl w:val="0"/>
          <w:numId w:val="5"/>
        </w:numPr>
        <w:ind w:firstLineChars="0"/>
        <w:rPr>
          <w:rFonts w:ascii="仿宋" w:hAnsi="仿宋" w:eastAsia="仿宋" w:cs="仿宋"/>
        </w:rPr>
      </w:pPr>
      <w:r>
        <w:rPr>
          <w:rFonts w:hint="default" w:ascii="Times New Roman" w:hAnsi="Times New Roman" w:eastAsia="仿宋" w:cs="Times New Roman"/>
          <w:color w:val="auto"/>
          <w:sz w:val="24"/>
          <w:szCs w:val="24"/>
          <w:lang w:eastAsia="zh-CN"/>
        </w:rPr>
        <w:t>技术培训方案</w:t>
      </w:r>
      <w:r>
        <w:rPr>
          <w:rFonts w:hint="eastAsia" w:ascii="Times New Roman" w:hAnsi="Times New Roman" w:eastAsia="仿宋" w:cs="Times New Roman"/>
          <w:color w:val="auto"/>
          <w:sz w:val="24"/>
          <w:szCs w:val="24"/>
          <w:lang w:eastAsia="zh-CN"/>
        </w:rPr>
        <w:t>；</w:t>
      </w:r>
    </w:p>
    <w:p w14:paraId="5C1823CE">
      <w:pPr>
        <w:pStyle w:val="22"/>
        <w:numPr>
          <w:ilvl w:val="0"/>
          <w:numId w:val="5"/>
        </w:numPr>
        <w:ind w:firstLineChars="0"/>
        <w:rPr>
          <w:rFonts w:ascii="仿宋" w:hAnsi="仿宋" w:eastAsia="仿宋" w:cs="仿宋"/>
        </w:rPr>
      </w:pPr>
      <w:r>
        <w:rPr>
          <w:rFonts w:hint="default" w:ascii="Times New Roman" w:hAnsi="Times New Roman" w:eastAsia="仿宋" w:cs="Times New Roman"/>
          <w:color w:val="auto"/>
          <w:sz w:val="24"/>
          <w:szCs w:val="24"/>
        </w:rPr>
        <w:t>项目业绩</w:t>
      </w:r>
      <w:r>
        <w:rPr>
          <w:rFonts w:hint="eastAsia" w:ascii="Times New Roman" w:hAnsi="Times New Roman" w:eastAsia="仿宋" w:cs="Times New Roman"/>
          <w:color w:val="auto"/>
          <w:sz w:val="24"/>
          <w:szCs w:val="24"/>
          <w:lang w:eastAsia="zh-CN"/>
        </w:rPr>
        <w:t>；</w:t>
      </w:r>
    </w:p>
    <w:p w14:paraId="24BC5AED">
      <w:pPr>
        <w:pStyle w:val="22"/>
        <w:numPr>
          <w:ilvl w:val="0"/>
          <w:numId w:val="5"/>
        </w:numPr>
        <w:ind w:firstLineChars="0"/>
        <w:rPr>
          <w:rFonts w:ascii="仿宋" w:hAnsi="仿宋" w:eastAsia="仿宋" w:cs="仿宋"/>
        </w:rPr>
      </w:pPr>
      <w:r>
        <w:rPr>
          <w:rFonts w:hint="default" w:ascii="Times New Roman" w:hAnsi="Times New Roman" w:eastAsia="仿宋" w:cs="Times New Roman"/>
          <w:color w:val="auto"/>
          <w:sz w:val="24"/>
          <w:szCs w:val="24"/>
        </w:rPr>
        <w:t>运维业绩</w:t>
      </w:r>
      <w:r>
        <w:rPr>
          <w:rFonts w:hint="eastAsia" w:ascii="Times New Roman" w:hAnsi="Times New Roman" w:eastAsia="仿宋" w:cs="Times New Roman"/>
          <w:color w:val="auto"/>
          <w:sz w:val="24"/>
          <w:szCs w:val="24"/>
          <w:lang w:eastAsia="zh-CN"/>
        </w:rPr>
        <w:t>。</w:t>
      </w:r>
    </w:p>
    <w:p w14:paraId="046AC763">
      <w:pPr>
        <w:pStyle w:val="22"/>
        <w:ind w:firstLine="420" w:firstLineChars="0"/>
        <w:rPr>
          <w:rFonts w:ascii="仿宋" w:hAnsi="仿宋" w:eastAsia="仿宋" w:cs="仿宋"/>
          <w:b/>
          <w:bCs/>
        </w:rPr>
      </w:pPr>
      <w:r>
        <w:rPr>
          <w:rFonts w:ascii="仿宋" w:hAnsi="仿宋" w:eastAsia="仿宋" w:cs="仿宋"/>
          <w:b/>
          <w:bCs/>
        </w:rPr>
        <w:t>（四）报价文件：</w:t>
      </w:r>
    </w:p>
    <w:p w14:paraId="700130A5">
      <w:pPr>
        <w:pStyle w:val="22"/>
        <w:numPr>
          <w:ilvl w:val="0"/>
          <w:numId w:val="6"/>
        </w:numPr>
        <w:ind w:firstLineChars="0"/>
        <w:rPr>
          <w:rFonts w:ascii="仿宋" w:hAnsi="仿宋" w:eastAsia="仿宋" w:cs="仿宋"/>
        </w:rPr>
      </w:pPr>
      <w:r>
        <w:rPr>
          <w:rFonts w:ascii="仿宋" w:hAnsi="仿宋" w:eastAsia="仿宋" w:cs="仿宋"/>
        </w:rPr>
        <w:t>投标响应函；</w:t>
      </w:r>
    </w:p>
    <w:p w14:paraId="02E58A23">
      <w:pPr>
        <w:pStyle w:val="22"/>
        <w:numPr>
          <w:ilvl w:val="0"/>
          <w:numId w:val="6"/>
        </w:numPr>
        <w:ind w:firstLineChars="0"/>
        <w:rPr>
          <w:rFonts w:hint="default" w:ascii="仿宋" w:hAnsi="仿宋" w:eastAsia="仿宋" w:cs="仿宋"/>
        </w:rPr>
      </w:pPr>
      <w:r>
        <w:rPr>
          <w:rFonts w:ascii="仿宋" w:hAnsi="仿宋" w:eastAsia="仿宋" w:cs="仿宋"/>
        </w:rPr>
        <w:t>报价一览表(含人工费、服务费、保险费、管理费、辅材费、食宿费、交通费、税费、撤场费等完成本项目的全部费用。投标报价需提供报价一览表及单价与总价金额，总价金额与按单价汇总金额不一致的，以单价金额计算结果为准。高于采购预算视为无效报价。报价以人民币计，并以大写为准)。</w:t>
      </w:r>
    </w:p>
    <w:p w14:paraId="43777FA8">
      <w:pPr>
        <w:pStyle w:val="22"/>
        <w:numPr>
          <w:ilvl w:val="0"/>
          <w:numId w:val="6"/>
        </w:numPr>
        <w:ind w:firstLineChars="0"/>
        <w:rPr>
          <w:rFonts w:ascii="仿宋" w:hAnsi="仿宋" w:eastAsia="仿宋" w:cs="仿宋"/>
        </w:rPr>
      </w:pPr>
      <w:r>
        <w:rPr>
          <w:rFonts w:ascii="仿宋" w:hAnsi="仿宋" w:eastAsia="仿宋" w:cs="仿宋"/>
        </w:rPr>
        <w:t>报价明细表。</w:t>
      </w:r>
    </w:p>
    <w:p w14:paraId="00384543">
      <w:pPr>
        <w:pStyle w:val="22"/>
        <w:ind w:firstLine="0" w:firstLineChars="0"/>
        <w:rPr>
          <w:rFonts w:ascii="仿宋" w:hAnsi="仿宋" w:eastAsia="仿宋" w:cs="仿宋"/>
          <w:b/>
          <w:bCs/>
        </w:rPr>
      </w:pPr>
      <w:r>
        <w:rPr>
          <w:rFonts w:ascii="仿宋" w:hAnsi="仿宋" w:eastAsia="仿宋" w:cs="仿宋"/>
          <w:b/>
          <w:bCs/>
        </w:rPr>
        <w:tab/>
      </w:r>
      <w:r>
        <w:rPr>
          <w:rFonts w:ascii="仿宋" w:hAnsi="仿宋" w:eastAsia="仿宋" w:cs="仿宋"/>
          <w:b/>
          <w:bCs/>
        </w:rPr>
        <w:t>注：高于采购预算视为无效报价。报价以人民币计，并以大写为准。报价应由法定代表人或其授权代表签字确认并加盖公章。</w:t>
      </w:r>
    </w:p>
    <w:p w14:paraId="54AB2524">
      <w:pPr>
        <w:pStyle w:val="22"/>
        <w:ind w:firstLine="420" w:firstLineChars="0"/>
        <w:rPr>
          <w:rFonts w:ascii="仿宋" w:hAnsi="仿宋" w:eastAsia="仿宋" w:cs="仿宋"/>
        </w:rPr>
      </w:pPr>
      <w:r>
        <w:rPr>
          <w:rFonts w:ascii="仿宋" w:hAnsi="仿宋" w:eastAsia="仿宋" w:cs="仿宋"/>
        </w:rPr>
        <w:t>以上材料模板见附件。</w:t>
      </w:r>
    </w:p>
    <w:p w14:paraId="08D7863B">
      <w:pPr>
        <w:pStyle w:val="21"/>
        <w:rPr>
          <w:rFonts w:ascii="仿宋" w:hAnsi="仿宋" w:eastAsia="仿宋" w:cs="仿宋"/>
        </w:rPr>
      </w:pPr>
      <w:r>
        <w:rPr>
          <w:rFonts w:ascii="仿宋" w:hAnsi="仿宋" w:eastAsia="仿宋" w:cs="仿宋"/>
        </w:rPr>
        <w:t>四、投标文件递交、开标时间</w:t>
      </w:r>
    </w:p>
    <w:p w14:paraId="51448350">
      <w:pPr>
        <w:pStyle w:val="22"/>
        <w:ind w:firstLine="420" w:firstLineChars="0"/>
        <w:rPr>
          <w:rFonts w:ascii="仿宋" w:hAnsi="仿宋" w:eastAsia="仿宋" w:cs="仿宋"/>
          <w:highlight w:val="none"/>
        </w:rPr>
      </w:pPr>
      <w:r>
        <w:rPr>
          <w:rFonts w:ascii="仿宋" w:hAnsi="仿宋" w:eastAsia="仿宋" w:cs="仿宋"/>
        </w:rPr>
        <w:t>（一）投标文件投递截止时间：</w:t>
      </w:r>
      <w:r>
        <w:rPr>
          <w:rFonts w:ascii="仿宋" w:hAnsi="仿宋" w:eastAsia="仿宋" w:cs="仿宋"/>
          <w:highlight w:val="yellow"/>
        </w:rPr>
        <w:t>202</w:t>
      </w:r>
      <w:r>
        <w:rPr>
          <w:rFonts w:hint="eastAsia" w:ascii="仿宋" w:hAnsi="仿宋" w:eastAsia="仿宋" w:cs="仿宋"/>
          <w:highlight w:val="yellow"/>
          <w:lang w:val="en-US" w:eastAsia="zh-CN"/>
        </w:rPr>
        <w:t>6</w:t>
      </w:r>
      <w:r>
        <w:rPr>
          <w:rFonts w:ascii="仿宋" w:hAnsi="仿宋" w:eastAsia="仿宋" w:cs="仿宋"/>
          <w:highlight w:val="yellow"/>
        </w:rPr>
        <w:t>年</w:t>
      </w:r>
      <w:r>
        <w:rPr>
          <w:rFonts w:hint="eastAsia" w:ascii="仿宋" w:hAnsi="仿宋" w:eastAsia="仿宋" w:cs="仿宋"/>
          <w:highlight w:val="yellow"/>
          <w:lang w:val="en-US" w:eastAsia="zh-CN"/>
        </w:rPr>
        <w:t>5</w:t>
      </w:r>
      <w:r>
        <w:rPr>
          <w:rFonts w:ascii="仿宋" w:hAnsi="仿宋" w:eastAsia="仿宋" w:cs="仿宋"/>
          <w:highlight w:val="yellow"/>
        </w:rPr>
        <w:t>月</w:t>
      </w:r>
      <w:r>
        <w:rPr>
          <w:rFonts w:hint="eastAsia" w:ascii="仿宋" w:hAnsi="仿宋" w:eastAsia="仿宋" w:cs="仿宋"/>
          <w:highlight w:val="yellow"/>
          <w:lang w:val="en-US" w:eastAsia="zh-CN"/>
        </w:rPr>
        <w:t>27</w:t>
      </w:r>
      <w:r>
        <w:rPr>
          <w:rFonts w:ascii="仿宋" w:hAnsi="仿宋" w:eastAsia="仿宋" w:cs="仿宋"/>
          <w:highlight w:val="yellow"/>
        </w:rPr>
        <w:t>日下午1</w:t>
      </w:r>
      <w:r>
        <w:rPr>
          <w:rFonts w:hint="eastAsia" w:ascii="仿宋" w:hAnsi="仿宋" w:eastAsia="仿宋" w:cs="仿宋"/>
          <w:highlight w:val="yellow"/>
          <w:lang w:val="en-US" w:eastAsia="zh-CN"/>
        </w:rPr>
        <w:t>4</w:t>
      </w:r>
      <w:r>
        <w:rPr>
          <w:rFonts w:ascii="仿宋" w:hAnsi="仿宋" w:eastAsia="仿宋" w:cs="仿宋"/>
          <w:highlight w:val="yellow"/>
        </w:rPr>
        <w:t>:</w:t>
      </w:r>
      <w:r>
        <w:rPr>
          <w:rFonts w:hint="eastAsia" w:ascii="仿宋" w:hAnsi="仿宋" w:eastAsia="仿宋" w:cs="仿宋"/>
          <w:highlight w:val="yellow"/>
          <w:lang w:val="en-US" w:eastAsia="zh-CN"/>
        </w:rPr>
        <w:t>0</w:t>
      </w:r>
      <w:r>
        <w:rPr>
          <w:rFonts w:ascii="仿宋" w:hAnsi="仿宋" w:eastAsia="仿宋" w:cs="仿宋"/>
          <w:highlight w:val="yellow"/>
        </w:rPr>
        <w:t>0</w:t>
      </w:r>
      <w:r>
        <w:rPr>
          <w:rFonts w:ascii="仿宋" w:hAnsi="仿宋" w:eastAsia="仿宋" w:cs="仿宋"/>
          <w:highlight w:val="none"/>
        </w:rPr>
        <w:t>（投标人迟到视为自动弃标）；</w:t>
      </w:r>
    </w:p>
    <w:p w14:paraId="57FBFAA7">
      <w:pPr>
        <w:pStyle w:val="22"/>
        <w:ind w:firstLine="420" w:firstLineChars="0"/>
        <w:rPr>
          <w:rFonts w:ascii="仿宋" w:hAnsi="仿宋" w:eastAsia="仿宋" w:cs="仿宋"/>
        </w:rPr>
      </w:pPr>
      <w:r>
        <w:rPr>
          <w:rFonts w:ascii="仿宋" w:hAnsi="仿宋" w:eastAsia="仿宋" w:cs="仿宋"/>
          <w:highlight w:val="none"/>
        </w:rPr>
        <w:t>（二）开标时间：</w:t>
      </w:r>
      <w:r>
        <w:rPr>
          <w:rFonts w:ascii="仿宋" w:hAnsi="仿宋" w:eastAsia="仿宋" w:cs="仿宋"/>
          <w:highlight w:val="yellow"/>
        </w:rPr>
        <w:t>202</w:t>
      </w:r>
      <w:r>
        <w:rPr>
          <w:rFonts w:hint="eastAsia" w:ascii="仿宋" w:hAnsi="仿宋" w:eastAsia="仿宋" w:cs="仿宋"/>
          <w:highlight w:val="yellow"/>
          <w:lang w:val="en-US" w:eastAsia="zh-CN"/>
        </w:rPr>
        <w:t>6</w:t>
      </w:r>
      <w:r>
        <w:rPr>
          <w:rFonts w:ascii="仿宋" w:hAnsi="仿宋" w:eastAsia="仿宋" w:cs="仿宋"/>
          <w:highlight w:val="yellow"/>
        </w:rPr>
        <w:t>年</w:t>
      </w:r>
      <w:r>
        <w:rPr>
          <w:rFonts w:hint="eastAsia" w:ascii="仿宋" w:hAnsi="仿宋" w:eastAsia="仿宋" w:cs="仿宋"/>
          <w:highlight w:val="yellow"/>
          <w:lang w:val="en-US" w:eastAsia="zh-CN"/>
        </w:rPr>
        <w:t>5</w:t>
      </w:r>
      <w:r>
        <w:rPr>
          <w:rFonts w:ascii="仿宋" w:hAnsi="仿宋" w:eastAsia="仿宋" w:cs="仿宋"/>
          <w:highlight w:val="yellow"/>
        </w:rPr>
        <w:t>月</w:t>
      </w:r>
      <w:r>
        <w:rPr>
          <w:rFonts w:hint="eastAsia" w:ascii="仿宋" w:hAnsi="仿宋" w:eastAsia="仿宋" w:cs="仿宋"/>
          <w:highlight w:val="yellow"/>
          <w:lang w:val="en-US" w:eastAsia="zh-CN"/>
        </w:rPr>
        <w:t>27</w:t>
      </w:r>
      <w:r>
        <w:rPr>
          <w:rFonts w:ascii="仿宋" w:hAnsi="仿宋" w:eastAsia="仿宋" w:cs="仿宋"/>
          <w:highlight w:val="yellow"/>
        </w:rPr>
        <w:t>日下午1</w:t>
      </w:r>
      <w:r>
        <w:rPr>
          <w:rFonts w:hint="eastAsia" w:ascii="仿宋" w:hAnsi="仿宋" w:eastAsia="仿宋" w:cs="仿宋"/>
          <w:highlight w:val="yellow"/>
          <w:lang w:val="en-US" w:eastAsia="zh-CN"/>
        </w:rPr>
        <w:t>4</w:t>
      </w:r>
      <w:r>
        <w:rPr>
          <w:rFonts w:ascii="仿宋" w:hAnsi="仿宋" w:eastAsia="仿宋" w:cs="仿宋"/>
          <w:highlight w:val="yellow"/>
        </w:rPr>
        <w:t>:</w:t>
      </w:r>
      <w:r>
        <w:rPr>
          <w:rFonts w:hint="eastAsia" w:ascii="仿宋" w:hAnsi="仿宋" w:eastAsia="仿宋" w:cs="仿宋"/>
          <w:highlight w:val="yellow"/>
          <w:lang w:val="en-US" w:eastAsia="zh-CN"/>
        </w:rPr>
        <w:t>0</w:t>
      </w:r>
      <w:r>
        <w:rPr>
          <w:rFonts w:ascii="仿宋" w:hAnsi="仿宋" w:eastAsia="仿宋" w:cs="仿宋"/>
          <w:highlight w:val="yellow"/>
        </w:rPr>
        <w:t>0</w:t>
      </w:r>
      <w:r>
        <w:rPr>
          <w:rFonts w:ascii="仿宋" w:hAnsi="仿宋" w:eastAsia="仿宋" w:cs="仿宋"/>
        </w:rPr>
        <w:t>；</w:t>
      </w:r>
    </w:p>
    <w:p w14:paraId="115D992C">
      <w:pPr>
        <w:pStyle w:val="22"/>
        <w:ind w:firstLine="420" w:firstLineChars="0"/>
        <w:rPr>
          <w:rFonts w:ascii="仿宋" w:hAnsi="仿宋" w:eastAsia="仿宋" w:cs="仿宋"/>
        </w:rPr>
      </w:pPr>
      <w:r>
        <w:rPr>
          <w:rFonts w:ascii="仿宋" w:hAnsi="仿宋" w:eastAsia="仿宋" w:cs="仿宋"/>
        </w:rPr>
        <w:t>（三）投标文件投递或邮寄地址：湖州市吴兴区创业大道3333号22D后勤楼309（接收人：</w:t>
      </w:r>
      <w:r>
        <w:rPr>
          <w:rFonts w:hint="eastAsia" w:ascii="仿宋" w:hAnsi="仿宋" w:eastAsia="仿宋" w:cs="仿宋"/>
          <w:lang w:val="en-US" w:eastAsia="zh-CN"/>
        </w:rPr>
        <w:t>徐</w:t>
      </w:r>
      <w:r>
        <w:rPr>
          <w:rFonts w:ascii="仿宋" w:hAnsi="仿宋" w:eastAsia="仿宋" w:cs="仿宋"/>
        </w:rPr>
        <w:t>老师，联系方式：</w:t>
      </w:r>
      <w:r>
        <w:rPr>
          <w:rFonts w:hint="eastAsia" w:ascii="仿宋" w:hAnsi="仿宋" w:eastAsia="仿宋" w:cs="仿宋"/>
          <w:lang w:val="en-US" w:eastAsia="zh-CN"/>
        </w:rPr>
        <w:t>18768190065</w:t>
      </w:r>
      <w:r>
        <w:rPr>
          <w:rFonts w:ascii="仿宋" w:hAnsi="仿宋" w:eastAsia="仿宋" w:cs="仿宋"/>
        </w:rPr>
        <w:t>）；</w:t>
      </w:r>
    </w:p>
    <w:p w14:paraId="5AFD25E8">
      <w:pPr>
        <w:pStyle w:val="22"/>
        <w:ind w:firstLine="420" w:firstLineChars="0"/>
        <w:rPr>
          <w:rFonts w:ascii="仿宋" w:hAnsi="仿宋" w:eastAsia="仿宋" w:cs="仿宋"/>
        </w:rPr>
      </w:pPr>
      <w:r>
        <w:rPr>
          <w:rFonts w:ascii="仿宋" w:hAnsi="仿宋" w:eastAsia="仿宋" w:cs="仿宋"/>
        </w:rPr>
        <w:t>（四）开标地点：湖州市吴兴区创业大道3333号22D后勤楼3</w:t>
      </w:r>
      <w:r>
        <w:rPr>
          <w:rFonts w:hint="eastAsia" w:ascii="仿宋" w:hAnsi="仿宋" w:eastAsia="仿宋" w:cs="仿宋"/>
          <w:lang w:val="en-US" w:eastAsia="zh-CN"/>
        </w:rPr>
        <w:t>06</w:t>
      </w:r>
      <w:r>
        <w:rPr>
          <w:rFonts w:ascii="仿宋" w:hAnsi="仿宋" w:eastAsia="仿宋" w:cs="仿宋"/>
        </w:rPr>
        <w:t>开标室。</w:t>
      </w:r>
    </w:p>
    <w:p w14:paraId="3AA2F988">
      <w:pPr>
        <w:pStyle w:val="22"/>
        <w:ind w:firstLine="420" w:firstLineChars="0"/>
        <w:rPr>
          <w:rFonts w:ascii="仿宋" w:hAnsi="仿宋" w:eastAsia="仿宋" w:cs="仿宋"/>
        </w:rPr>
      </w:pPr>
      <w:r>
        <w:rPr>
          <w:rFonts w:ascii="仿宋" w:hAnsi="仿宋" w:eastAsia="仿宋" w:cs="仿宋"/>
        </w:rPr>
        <w:t>注：供应商未现场参与开标，设同默认开标结果。供应商应确保投标文件在邮寄过程密封包装完好，因邮寄过程造成损坏而不符合开标要求的，湖州学院采购事务中心概不负责。</w:t>
      </w:r>
    </w:p>
    <w:p w14:paraId="4A04CE5C">
      <w:pPr>
        <w:pStyle w:val="21"/>
        <w:rPr>
          <w:rFonts w:ascii="仿宋" w:hAnsi="仿宋" w:eastAsia="仿宋" w:cs="仿宋"/>
        </w:rPr>
      </w:pPr>
      <w:r>
        <w:rPr>
          <w:rFonts w:ascii="仿宋" w:hAnsi="仿宋" w:eastAsia="仿宋" w:cs="仿宋"/>
        </w:rPr>
        <w:t>五、中标办法</w:t>
      </w:r>
    </w:p>
    <w:p w14:paraId="4CBFA36D">
      <w:pPr>
        <w:pStyle w:val="22"/>
        <w:ind w:firstLine="420" w:firstLineChars="0"/>
        <w:rPr>
          <w:rFonts w:ascii="仿宋" w:hAnsi="仿宋" w:eastAsia="仿宋" w:cs="仿宋"/>
        </w:rPr>
      </w:pPr>
      <w:r>
        <w:rPr>
          <w:rFonts w:ascii="仿宋" w:hAnsi="仿宋" w:eastAsia="仿宋" w:cs="仿宋"/>
        </w:rPr>
        <w:t>本项目采</w:t>
      </w:r>
      <w:r>
        <w:rPr>
          <w:rFonts w:hint="eastAsia" w:ascii="仿宋" w:hAnsi="仿宋" w:eastAsia="仿宋" w:cs="仿宋"/>
          <w:lang w:val="en-US" w:eastAsia="zh-CN"/>
        </w:rPr>
        <w:t>用</w:t>
      </w:r>
      <w:r>
        <w:rPr>
          <w:rFonts w:ascii="仿宋" w:hAnsi="仿宋" w:eastAsia="仿宋" w:cs="仿宋"/>
          <w:b/>
          <w:bCs/>
        </w:rPr>
        <w:t>综合评标法</w:t>
      </w:r>
      <w:r>
        <w:rPr>
          <w:rFonts w:ascii="仿宋" w:hAnsi="仿宋" w:eastAsia="仿宋" w:cs="仿宋"/>
        </w:rPr>
        <w:t>，得分最高供应商为中标人；</w:t>
      </w:r>
    </w:p>
    <w:p w14:paraId="33442C9C">
      <w:pPr>
        <w:pStyle w:val="22"/>
        <w:ind w:firstLine="420" w:firstLineChars="0"/>
        <w:rPr>
          <w:rFonts w:ascii="仿宋" w:hAnsi="仿宋" w:eastAsia="仿宋" w:cs="仿宋"/>
        </w:rPr>
      </w:pPr>
      <w:r>
        <w:rPr>
          <w:rFonts w:ascii="仿宋" w:hAnsi="仿宋" w:eastAsia="仿宋" w:cs="仿宋"/>
        </w:rPr>
        <w:t>注：如出现中标人拒签合同，招标人将根据实际情况，采用“按序递补”或“重新招标”的方式重新确定中标人。</w:t>
      </w:r>
    </w:p>
    <w:p w14:paraId="19D2943B">
      <w:pPr>
        <w:pStyle w:val="21"/>
        <w:rPr>
          <w:rFonts w:ascii="仿宋" w:hAnsi="仿宋" w:eastAsia="仿宋" w:cs="仿宋"/>
        </w:rPr>
      </w:pPr>
      <w:r>
        <w:rPr>
          <w:rFonts w:ascii="仿宋" w:hAnsi="仿宋" w:eastAsia="仿宋" w:cs="仿宋"/>
        </w:rPr>
        <w:t>六、付款方式：</w:t>
      </w:r>
    </w:p>
    <w:p w14:paraId="11C14EB1">
      <w:pPr>
        <w:pStyle w:val="22"/>
        <w:ind w:firstLine="420" w:firstLineChars="0"/>
        <w:rPr>
          <w:rFonts w:hint="default" w:ascii="仿宋" w:hAnsi="仿宋" w:eastAsia="仿宋" w:cs="仿宋"/>
          <w:highlight w:val="none"/>
          <w:lang w:val="en-US" w:eastAsia="zh-CN"/>
        </w:rPr>
      </w:pPr>
      <w:r>
        <w:rPr>
          <w:rFonts w:ascii="仿宋" w:hAnsi="仿宋" w:eastAsia="仿宋" w:cs="仿宋"/>
          <w:highlight w:val="none"/>
        </w:rPr>
        <w:t>1.</w:t>
      </w:r>
      <w:r>
        <w:rPr>
          <w:rFonts w:hint="eastAsia" w:ascii="仿宋" w:hAnsi="仿宋" w:eastAsia="仿宋" w:cs="仿宋"/>
          <w:highlight w:val="none"/>
          <w:lang w:val="en-US" w:eastAsia="zh-CN"/>
        </w:rPr>
        <w:t>项目完成并经采购人验收合格后支付合同金额的100%。</w:t>
      </w:r>
    </w:p>
    <w:p w14:paraId="28BB7B93">
      <w:pPr>
        <w:pStyle w:val="22"/>
        <w:ind w:firstLine="420" w:firstLineChars="0"/>
        <w:rPr>
          <w:rFonts w:ascii="仿宋" w:hAnsi="仿宋" w:eastAsia="仿宋" w:cs="仿宋"/>
        </w:rPr>
      </w:pPr>
      <w:r>
        <w:rPr>
          <w:rFonts w:ascii="仿宋" w:hAnsi="仿宋" w:eastAsia="仿宋" w:cs="仿宋"/>
          <w:highlight w:val="none"/>
        </w:rPr>
        <w:t>2.本项目不收取投标保证金</w:t>
      </w:r>
      <w:r>
        <w:rPr>
          <w:rFonts w:hint="eastAsia" w:ascii="仿宋" w:hAnsi="仿宋" w:eastAsia="仿宋" w:cs="仿宋"/>
          <w:highlight w:val="none"/>
          <w:lang w:eastAsia="zh-CN"/>
        </w:rPr>
        <w:t>，</w:t>
      </w:r>
      <w:r>
        <w:rPr>
          <w:rFonts w:ascii="仿宋" w:hAnsi="仿宋" w:eastAsia="仿宋" w:cs="仿宋"/>
          <w:highlight w:val="none"/>
        </w:rPr>
        <w:t>履约保证金</w:t>
      </w:r>
      <w:r>
        <w:rPr>
          <w:rFonts w:hint="eastAsia" w:ascii="仿宋" w:hAnsi="仿宋" w:eastAsia="仿宋" w:cs="仿宋"/>
          <w:highlight w:val="none"/>
          <w:lang w:val="en-US" w:eastAsia="zh-CN"/>
        </w:rPr>
        <w:t>为</w:t>
      </w:r>
      <w:r>
        <w:rPr>
          <w:rFonts w:hint="eastAsia" w:ascii="仿宋" w:hAnsi="仿宋" w:eastAsia="仿宋" w:cs="仿宋"/>
          <w:highlight w:val="none"/>
        </w:rPr>
        <w:t>合同价的1%，履约</w:t>
      </w:r>
      <w:r>
        <w:rPr>
          <w:rFonts w:hint="eastAsia" w:ascii="仿宋" w:hAnsi="仿宋" w:eastAsia="仿宋" w:cs="仿宋"/>
        </w:rPr>
        <w:t>保证金形式为：银行转账或银行、保险公司出具的保函</w:t>
      </w:r>
      <w:r>
        <w:rPr>
          <w:rFonts w:hint="eastAsia" w:ascii="仿宋" w:hAnsi="仿宋" w:eastAsia="仿宋" w:cs="仿宋"/>
          <w:lang w:val="en-US" w:eastAsia="zh-CN"/>
        </w:rPr>
        <w:t>等非现金形式</w:t>
      </w:r>
      <w:r>
        <w:rPr>
          <w:rFonts w:hint="eastAsia" w:ascii="仿宋" w:hAnsi="仿宋" w:eastAsia="仿宋" w:cs="仿宋"/>
        </w:rPr>
        <w:t>；合同期限结束</w:t>
      </w:r>
      <w:r>
        <w:rPr>
          <w:rFonts w:hint="eastAsia" w:ascii="仿宋" w:hAnsi="仿宋" w:eastAsia="仿宋" w:cs="仿宋"/>
          <w:lang w:val="en-US" w:eastAsia="zh-CN"/>
        </w:rPr>
        <w:t>且无违约责任</w:t>
      </w:r>
      <w:r>
        <w:rPr>
          <w:rFonts w:hint="eastAsia" w:ascii="仿宋" w:hAnsi="仿宋" w:eastAsia="仿宋" w:cs="仿宋"/>
        </w:rPr>
        <w:t>后由采购人无息退还</w:t>
      </w:r>
      <w:r>
        <w:rPr>
          <w:rFonts w:ascii="仿宋" w:hAnsi="仿宋" w:eastAsia="仿宋" w:cs="仿宋"/>
        </w:rPr>
        <w:t>。</w:t>
      </w:r>
    </w:p>
    <w:p w14:paraId="2F92941B">
      <w:pPr>
        <w:pStyle w:val="21"/>
        <w:rPr>
          <w:rFonts w:ascii="仿宋" w:hAnsi="仿宋" w:eastAsia="仿宋" w:cs="仿宋"/>
        </w:rPr>
      </w:pPr>
      <w:r>
        <w:rPr>
          <w:rFonts w:ascii="仿宋" w:hAnsi="仿宋" w:eastAsia="仿宋" w:cs="仿宋"/>
        </w:rPr>
        <w:t>七、联系方式</w:t>
      </w:r>
    </w:p>
    <w:p w14:paraId="0EEE006A">
      <w:pPr>
        <w:pStyle w:val="22"/>
        <w:ind w:firstLine="420" w:firstLineChars="0"/>
        <w:rPr>
          <w:rFonts w:ascii="仿宋" w:hAnsi="仿宋" w:eastAsia="仿宋" w:cs="仿宋"/>
        </w:rPr>
      </w:pPr>
      <w:r>
        <w:rPr>
          <w:rFonts w:ascii="仿宋" w:hAnsi="仿宋" w:eastAsia="仿宋" w:cs="仿宋"/>
        </w:rPr>
        <w:t>采购人：湖州学院</w:t>
      </w:r>
    </w:p>
    <w:p w14:paraId="3644A843">
      <w:pPr>
        <w:pStyle w:val="22"/>
        <w:ind w:firstLine="420" w:firstLineChars="0"/>
        <w:rPr>
          <w:rFonts w:ascii="仿宋" w:hAnsi="仿宋" w:eastAsia="仿宋" w:cs="仿宋"/>
          <w:highlight w:val="none"/>
        </w:rPr>
      </w:pPr>
      <w:r>
        <w:rPr>
          <w:rFonts w:ascii="仿宋" w:hAnsi="仿宋" w:eastAsia="仿宋" w:cs="仿宋"/>
          <w:lang w:eastAsia="zh-Hans"/>
        </w:rPr>
        <w:t>项目</w:t>
      </w:r>
      <w:r>
        <w:rPr>
          <w:rFonts w:ascii="仿宋" w:hAnsi="仿宋" w:eastAsia="仿宋" w:cs="仿宋"/>
        </w:rPr>
        <w:t>联系人：</w:t>
      </w:r>
      <w:r>
        <w:rPr>
          <w:rFonts w:hint="eastAsia" w:ascii="仿宋" w:hAnsi="仿宋" w:eastAsia="仿宋" w:cs="仿宋"/>
          <w:lang w:val="en-US" w:eastAsia="zh-CN"/>
        </w:rPr>
        <w:t>朱</w:t>
      </w:r>
      <w:r>
        <w:rPr>
          <w:rFonts w:ascii="仿宋" w:hAnsi="仿宋" w:eastAsia="仿宋" w:cs="仿宋"/>
        </w:rPr>
        <w:t xml:space="preserve">老师                         </w:t>
      </w:r>
      <w:r>
        <w:rPr>
          <w:rFonts w:ascii="仿宋" w:hAnsi="仿宋" w:eastAsia="仿宋" w:cs="仿宋"/>
          <w:highlight w:val="none"/>
        </w:rPr>
        <w:t>联系电话：0572-</w:t>
      </w:r>
      <w:r>
        <w:rPr>
          <w:rFonts w:hint="eastAsia" w:ascii="仿宋" w:hAnsi="仿宋" w:eastAsia="仿宋" w:cs="仿宋"/>
          <w:highlight w:val="none"/>
        </w:rPr>
        <w:t>21</w:t>
      </w:r>
      <w:r>
        <w:rPr>
          <w:rFonts w:hint="eastAsia" w:ascii="仿宋" w:hAnsi="仿宋" w:eastAsia="仿宋" w:cs="仿宋"/>
          <w:highlight w:val="none"/>
          <w:lang w:val="en-US" w:eastAsia="zh-CN"/>
        </w:rPr>
        <w:t>1</w:t>
      </w:r>
      <w:r>
        <w:rPr>
          <w:rFonts w:hint="eastAsia" w:ascii="仿宋" w:hAnsi="仿宋" w:eastAsia="仿宋" w:cs="仿宋"/>
          <w:highlight w:val="none"/>
        </w:rPr>
        <w:t>7000</w:t>
      </w:r>
    </w:p>
    <w:p w14:paraId="52D60E8A">
      <w:pPr>
        <w:pStyle w:val="22"/>
        <w:ind w:firstLine="420" w:firstLineChars="0"/>
        <w:rPr>
          <w:rFonts w:hint="default" w:ascii="仿宋" w:hAnsi="仿宋" w:eastAsia="仿宋" w:cs="仿宋"/>
          <w:highlight w:val="none"/>
          <w:lang w:val="en-US" w:eastAsia="zh-CN"/>
        </w:rPr>
      </w:pPr>
      <w:r>
        <w:rPr>
          <w:rFonts w:ascii="仿宋" w:hAnsi="仿宋" w:eastAsia="仿宋" w:cs="仿宋"/>
          <w:highlight w:val="none"/>
        </w:rPr>
        <w:t>质疑联系人：</w:t>
      </w:r>
      <w:r>
        <w:rPr>
          <w:rFonts w:hint="eastAsia" w:ascii="仿宋" w:hAnsi="仿宋" w:eastAsia="仿宋" w:cs="仿宋"/>
          <w:highlight w:val="none"/>
          <w:lang w:val="en-US" w:eastAsia="zh-CN"/>
        </w:rPr>
        <w:t>徐</w:t>
      </w:r>
      <w:r>
        <w:rPr>
          <w:rFonts w:ascii="仿宋" w:hAnsi="仿宋" w:eastAsia="仿宋" w:cs="仿宋"/>
          <w:highlight w:val="none"/>
        </w:rPr>
        <w:t>老师                         联系电话：</w:t>
      </w:r>
      <w:r>
        <w:rPr>
          <w:rFonts w:hint="eastAsia" w:ascii="仿宋" w:hAnsi="仿宋" w:eastAsia="仿宋" w:cs="仿宋"/>
          <w:highlight w:val="none"/>
          <w:lang w:val="en-US" w:eastAsia="zh-CN"/>
        </w:rPr>
        <w:t>0572-2112239</w:t>
      </w:r>
    </w:p>
    <w:p w14:paraId="2DC6D7F1">
      <w:pPr>
        <w:pStyle w:val="22"/>
        <w:ind w:firstLine="420" w:firstLineChars="0"/>
        <w:rPr>
          <w:rFonts w:ascii="仿宋" w:hAnsi="仿宋" w:eastAsia="仿宋" w:cs="仿宋"/>
        </w:rPr>
      </w:pPr>
    </w:p>
    <w:p w14:paraId="6774419C">
      <w:pPr>
        <w:pStyle w:val="21"/>
        <w:rPr>
          <w:rFonts w:ascii="仿宋" w:hAnsi="仿宋" w:eastAsia="仿宋" w:cs="仿宋"/>
        </w:rPr>
      </w:pPr>
      <w:r>
        <w:rPr>
          <w:rFonts w:ascii="仿宋" w:hAnsi="仿宋" w:eastAsia="仿宋" w:cs="仿宋"/>
        </w:rPr>
        <w:t>八：附件：</w:t>
      </w:r>
    </w:p>
    <w:p w14:paraId="01DB5B8B">
      <w:pPr>
        <w:pStyle w:val="22"/>
        <w:ind w:firstLine="420" w:firstLineChars="0"/>
        <w:jc w:val="left"/>
        <w:rPr>
          <w:rFonts w:ascii="仿宋" w:hAnsi="仿宋" w:eastAsia="仿宋" w:cs="仿宋"/>
        </w:rPr>
      </w:pPr>
      <w:r>
        <w:rPr>
          <w:rFonts w:ascii="仿宋" w:hAnsi="仿宋" w:eastAsia="仿宋" w:cs="仿宋"/>
        </w:rPr>
        <w:t>附件1：</w:t>
      </w:r>
      <w:r>
        <w:rPr>
          <w:rFonts w:hint="eastAsia" w:ascii="仿宋" w:hAnsi="仿宋" w:eastAsia="仿宋" w:cs="仿宋"/>
        </w:rPr>
        <w:t>湖州</w:t>
      </w:r>
      <w:r>
        <w:rPr>
          <w:rFonts w:ascii="仿宋" w:hAnsi="仿宋" w:eastAsia="仿宋" w:cs="仿宋"/>
        </w:rPr>
        <w:t>学院运维设备评分标准</w:t>
      </w:r>
    </w:p>
    <w:p w14:paraId="0AFFBA2C">
      <w:pPr>
        <w:pStyle w:val="22"/>
        <w:ind w:firstLine="420" w:firstLineChars="0"/>
        <w:jc w:val="left"/>
        <w:rPr>
          <w:rFonts w:ascii="仿宋" w:hAnsi="仿宋" w:eastAsia="仿宋" w:cs="仿宋"/>
        </w:rPr>
      </w:pPr>
      <w:r>
        <w:rPr>
          <w:rFonts w:ascii="仿宋" w:hAnsi="仿宋" w:eastAsia="仿宋" w:cs="仿宋"/>
        </w:rPr>
        <w:t>附件2：资格文件参考格式</w:t>
      </w:r>
    </w:p>
    <w:p w14:paraId="3DF40ABD">
      <w:pPr>
        <w:pStyle w:val="22"/>
        <w:ind w:firstLine="420" w:firstLineChars="0"/>
        <w:jc w:val="left"/>
        <w:rPr>
          <w:rFonts w:ascii="仿宋" w:hAnsi="仿宋" w:eastAsia="仿宋" w:cs="仿宋"/>
        </w:rPr>
      </w:pPr>
      <w:r>
        <w:rPr>
          <w:rFonts w:hint="eastAsia" w:ascii="仿宋" w:hAnsi="仿宋" w:eastAsia="仿宋" w:cs="仿宋"/>
          <w:lang w:val="en-US" w:eastAsia="zh-CN"/>
        </w:rPr>
        <w:t>附件3：</w:t>
      </w:r>
      <w:r>
        <w:rPr>
          <w:rFonts w:ascii="仿宋" w:hAnsi="仿宋" w:eastAsia="仿宋" w:cs="仿宋"/>
        </w:rPr>
        <w:t>技术商务文件参考格式</w:t>
      </w:r>
    </w:p>
    <w:p w14:paraId="1A59B091">
      <w:pPr>
        <w:pStyle w:val="22"/>
        <w:ind w:firstLine="420" w:firstLineChars="0"/>
        <w:jc w:val="left"/>
        <w:rPr>
          <w:rFonts w:ascii="仿宋" w:hAnsi="仿宋" w:eastAsia="仿宋" w:cs="仿宋"/>
        </w:rPr>
      </w:pPr>
      <w:r>
        <w:rPr>
          <w:rFonts w:ascii="仿宋" w:hAnsi="仿宋" w:eastAsia="仿宋" w:cs="仿宋"/>
        </w:rPr>
        <w:t>附件</w:t>
      </w:r>
      <w:r>
        <w:rPr>
          <w:rFonts w:hint="eastAsia" w:ascii="仿宋" w:hAnsi="仿宋" w:eastAsia="仿宋" w:cs="仿宋"/>
          <w:lang w:val="en-US" w:eastAsia="zh-CN"/>
        </w:rPr>
        <w:t>4</w:t>
      </w:r>
      <w:r>
        <w:rPr>
          <w:rFonts w:ascii="仿宋" w:hAnsi="仿宋" w:eastAsia="仿宋" w:cs="仿宋"/>
        </w:rPr>
        <w:t>：报价文件参考格式</w:t>
      </w:r>
    </w:p>
    <w:p w14:paraId="3F8C695E">
      <w:pPr>
        <w:pStyle w:val="22"/>
        <w:ind w:firstLine="420" w:firstLineChars="0"/>
        <w:jc w:val="left"/>
        <w:rPr>
          <w:rFonts w:ascii="仿宋" w:hAnsi="仿宋" w:eastAsia="仿宋" w:cs="仿宋"/>
        </w:rPr>
      </w:pPr>
    </w:p>
    <w:p w14:paraId="08274EC4">
      <w:pPr>
        <w:pStyle w:val="22"/>
        <w:ind w:firstLine="420" w:firstLineChars="0"/>
        <w:jc w:val="left"/>
        <w:rPr>
          <w:rFonts w:ascii="仿宋" w:hAnsi="仿宋" w:eastAsia="仿宋" w:cs="仿宋"/>
        </w:rPr>
      </w:pPr>
    </w:p>
    <w:p w14:paraId="02167E81">
      <w:pPr>
        <w:pStyle w:val="22"/>
        <w:ind w:firstLine="420" w:firstLineChars="0"/>
        <w:jc w:val="right"/>
        <w:rPr>
          <w:rFonts w:ascii="仿宋" w:hAnsi="仿宋" w:eastAsia="仿宋" w:cs="仿宋"/>
        </w:rPr>
      </w:pPr>
      <w:r>
        <w:rPr>
          <w:rFonts w:ascii="仿宋" w:hAnsi="仿宋" w:eastAsia="仿宋" w:cs="仿宋"/>
        </w:rPr>
        <w:t>湖州学院采购事务中心</w:t>
      </w:r>
    </w:p>
    <w:p w14:paraId="346745A6">
      <w:pPr>
        <w:pStyle w:val="22"/>
        <w:ind w:firstLine="420" w:firstLineChars="0"/>
        <w:jc w:val="right"/>
        <w:rPr>
          <w:rFonts w:ascii="仿宋" w:hAnsi="仿宋" w:eastAsia="仿宋" w:cs="仿宋"/>
          <w:highlight w:val="none"/>
        </w:rPr>
        <w:sectPr>
          <w:footerReference r:id="rId3"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highlight w:val="none"/>
        </w:rPr>
        <w:t>202</w:t>
      </w:r>
      <w:r>
        <w:rPr>
          <w:rFonts w:hint="eastAsia" w:ascii="仿宋" w:hAnsi="仿宋" w:eastAsia="仿宋" w:cs="仿宋"/>
          <w:highlight w:val="none"/>
          <w:lang w:val="en-US" w:eastAsia="zh-CN"/>
        </w:rPr>
        <w:t>6</w:t>
      </w:r>
      <w:r>
        <w:rPr>
          <w:rFonts w:ascii="仿宋" w:hAnsi="仿宋" w:eastAsia="仿宋" w:cs="仿宋"/>
          <w:highlight w:val="none"/>
        </w:rPr>
        <w:t>年</w:t>
      </w:r>
      <w:r>
        <w:rPr>
          <w:rFonts w:hint="eastAsia" w:ascii="仿宋" w:hAnsi="仿宋" w:eastAsia="仿宋" w:cs="仿宋"/>
          <w:highlight w:val="none"/>
          <w:lang w:val="en-US" w:eastAsia="zh-CN"/>
        </w:rPr>
        <w:t>5</w:t>
      </w:r>
      <w:r>
        <w:rPr>
          <w:rFonts w:ascii="仿宋" w:hAnsi="仿宋" w:eastAsia="仿宋" w:cs="仿宋"/>
          <w:highlight w:val="none"/>
        </w:rPr>
        <w:t>月</w:t>
      </w:r>
      <w:r>
        <w:rPr>
          <w:rFonts w:hint="eastAsia" w:ascii="仿宋" w:hAnsi="仿宋" w:eastAsia="仿宋" w:cs="仿宋"/>
          <w:highlight w:val="none"/>
          <w:lang w:val="en-US" w:eastAsia="zh-CN"/>
        </w:rPr>
        <w:t>18</w:t>
      </w:r>
      <w:r>
        <w:rPr>
          <w:rFonts w:ascii="仿宋" w:hAnsi="仿宋" w:eastAsia="仿宋" w:cs="仿宋"/>
          <w:highlight w:val="none"/>
        </w:rPr>
        <w:t>日</w:t>
      </w:r>
    </w:p>
    <w:p w14:paraId="32CBB157">
      <w:pPr>
        <w:spacing w:line="520" w:lineRule="exact"/>
        <w:jc w:val="center"/>
        <w:rPr>
          <w:rFonts w:hint="eastAsia" w:ascii="仿宋" w:hAnsi="仿宋" w:eastAsia="仿宋" w:cs="仿宋"/>
          <w:b/>
          <w:bCs/>
          <w:sz w:val="40"/>
          <w:szCs w:val="48"/>
          <w:highlight w:val="none"/>
          <w:lang w:val="en-US" w:eastAsia="zh-CN"/>
        </w:rPr>
      </w:pPr>
      <w:r>
        <w:rPr>
          <w:rFonts w:hint="eastAsia" w:ascii="仿宋" w:hAnsi="仿宋" w:eastAsia="仿宋" w:cs="仿宋"/>
          <w:b/>
          <w:bCs/>
          <w:sz w:val="40"/>
          <w:szCs w:val="48"/>
          <w:highlight w:val="none"/>
          <w:lang w:val="en-US" w:eastAsia="zh-CN"/>
        </w:rPr>
        <w:t>第二章 采购需求</w:t>
      </w:r>
    </w:p>
    <w:p w14:paraId="04FB5B62">
      <w:pPr>
        <w:spacing w:line="52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一、维保范围</w:t>
      </w:r>
    </w:p>
    <w:tbl>
      <w:tblPr>
        <w:tblStyle w:val="17"/>
        <w:tblW w:w="8959" w:type="dxa"/>
        <w:tblInd w:w="-41" w:type="dxa"/>
        <w:tblLayout w:type="fixed"/>
        <w:tblCellMar>
          <w:top w:w="0" w:type="dxa"/>
          <w:left w:w="108" w:type="dxa"/>
          <w:bottom w:w="0" w:type="dxa"/>
          <w:right w:w="108" w:type="dxa"/>
        </w:tblCellMar>
      </w:tblPr>
      <w:tblGrid>
        <w:gridCol w:w="860"/>
        <w:gridCol w:w="3399"/>
        <w:gridCol w:w="1550"/>
        <w:gridCol w:w="1000"/>
        <w:gridCol w:w="2150"/>
      </w:tblGrid>
      <w:tr w14:paraId="2445C037">
        <w:tblPrEx>
          <w:tblCellMar>
            <w:top w:w="0" w:type="dxa"/>
            <w:left w:w="108" w:type="dxa"/>
            <w:bottom w:w="0" w:type="dxa"/>
            <w:right w:w="108" w:type="dxa"/>
          </w:tblCellMar>
        </w:tblPrEx>
        <w:trPr>
          <w:trHeight w:val="464" w:hRule="atLeast"/>
        </w:trPr>
        <w:tc>
          <w:tcPr>
            <w:tcW w:w="860" w:type="dxa"/>
            <w:tcBorders>
              <w:top w:val="single" w:color="000000" w:sz="8" w:space="0"/>
              <w:left w:val="single" w:color="000000" w:sz="8" w:space="0"/>
              <w:bottom w:val="single" w:color="000000" w:sz="8" w:space="0"/>
              <w:right w:val="single" w:color="000000" w:sz="8" w:space="0"/>
            </w:tcBorders>
            <w:vAlign w:val="center"/>
          </w:tcPr>
          <w:p w14:paraId="6F065968">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序号</w:t>
            </w:r>
          </w:p>
        </w:tc>
        <w:tc>
          <w:tcPr>
            <w:tcW w:w="3399" w:type="dxa"/>
            <w:tcBorders>
              <w:top w:val="single" w:color="000000" w:sz="8" w:space="0"/>
              <w:left w:val="single" w:color="000000" w:sz="8" w:space="0"/>
              <w:bottom w:val="single" w:color="000000" w:sz="8" w:space="0"/>
              <w:right w:val="single" w:color="000000" w:sz="8" w:space="0"/>
            </w:tcBorders>
            <w:vAlign w:val="center"/>
          </w:tcPr>
          <w:p w14:paraId="0B2381A4">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室内配电房位置</w:t>
            </w:r>
          </w:p>
        </w:tc>
        <w:tc>
          <w:tcPr>
            <w:tcW w:w="1550" w:type="dxa"/>
            <w:tcBorders>
              <w:top w:val="single" w:color="000000" w:sz="8" w:space="0"/>
              <w:left w:val="single" w:color="000000" w:sz="8" w:space="0"/>
              <w:bottom w:val="single" w:color="000000" w:sz="8" w:space="0"/>
              <w:right w:val="single" w:color="000000" w:sz="8" w:space="0"/>
            </w:tcBorders>
            <w:vAlign w:val="center"/>
          </w:tcPr>
          <w:p w14:paraId="08E88318">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变压器容量（KVA）</w:t>
            </w:r>
          </w:p>
        </w:tc>
        <w:tc>
          <w:tcPr>
            <w:tcW w:w="1000" w:type="dxa"/>
            <w:tcBorders>
              <w:top w:val="single" w:color="000000" w:sz="8" w:space="0"/>
              <w:left w:val="single" w:color="000000" w:sz="8" w:space="0"/>
              <w:bottom w:val="single" w:color="000000" w:sz="8" w:space="0"/>
              <w:right w:val="single" w:color="000000" w:sz="8" w:space="0"/>
            </w:tcBorders>
            <w:vAlign w:val="center"/>
          </w:tcPr>
          <w:p w14:paraId="45F3EF46">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柜体数量</w:t>
            </w:r>
          </w:p>
        </w:tc>
        <w:tc>
          <w:tcPr>
            <w:tcW w:w="2150" w:type="dxa"/>
            <w:tcBorders>
              <w:top w:val="single" w:color="000000" w:sz="8" w:space="0"/>
              <w:left w:val="single" w:color="000000" w:sz="8" w:space="0"/>
              <w:bottom w:val="single" w:color="000000" w:sz="8" w:space="0"/>
              <w:right w:val="single" w:color="000000" w:sz="8" w:space="0"/>
            </w:tcBorders>
            <w:vAlign w:val="center"/>
          </w:tcPr>
          <w:p w14:paraId="5BD12AD1">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备注</w:t>
            </w:r>
          </w:p>
        </w:tc>
      </w:tr>
      <w:tr w14:paraId="5B5AE328">
        <w:tblPrEx>
          <w:tblCellMar>
            <w:top w:w="0" w:type="dxa"/>
            <w:left w:w="108" w:type="dxa"/>
            <w:bottom w:w="0" w:type="dxa"/>
            <w:right w:w="108" w:type="dxa"/>
          </w:tblCellMar>
        </w:tblPrEx>
        <w:trPr>
          <w:trHeight w:val="362" w:hRule="atLeast"/>
        </w:trPr>
        <w:tc>
          <w:tcPr>
            <w:tcW w:w="860" w:type="dxa"/>
            <w:tcBorders>
              <w:top w:val="nil"/>
              <w:left w:val="single" w:color="000000" w:sz="8" w:space="0"/>
              <w:bottom w:val="single" w:color="000000" w:sz="8" w:space="0"/>
              <w:right w:val="single" w:color="000000" w:sz="8" w:space="0"/>
            </w:tcBorders>
            <w:vAlign w:val="center"/>
          </w:tcPr>
          <w:p w14:paraId="0DB8414B">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w:t>
            </w:r>
          </w:p>
        </w:tc>
        <w:tc>
          <w:tcPr>
            <w:tcW w:w="3399" w:type="dxa"/>
            <w:tcBorders>
              <w:top w:val="nil"/>
              <w:left w:val="single" w:color="000000" w:sz="8" w:space="0"/>
              <w:bottom w:val="single" w:color="000000" w:sz="8" w:space="0"/>
              <w:right w:val="single" w:color="000000" w:sz="8" w:space="0"/>
            </w:tcBorders>
            <w:vAlign w:val="center"/>
          </w:tcPr>
          <w:p w14:paraId="6DF80D87">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5号公共教学楼1#专变</w:t>
            </w:r>
          </w:p>
        </w:tc>
        <w:tc>
          <w:tcPr>
            <w:tcW w:w="1550" w:type="dxa"/>
            <w:tcBorders>
              <w:top w:val="nil"/>
              <w:left w:val="single" w:color="000000" w:sz="8" w:space="0"/>
              <w:bottom w:val="single" w:color="000000" w:sz="8" w:space="0"/>
              <w:right w:val="single" w:color="000000" w:sz="8" w:space="0"/>
            </w:tcBorders>
            <w:vAlign w:val="center"/>
          </w:tcPr>
          <w:p w14:paraId="4162A0F8">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2*1600</w:t>
            </w:r>
          </w:p>
        </w:tc>
        <w:tc>
          <w:tcPr>
            <w:tcW w:w="1000" w:type="dxa"/>
            <w:tcBorders>
              <w:top w:val="nil"/>
              <w:left w:val="single" w:color="000000" w:sz="8" w:space="0"/>
              <w:bottom w:val="single" w:color="000000" w:sz="8" w:space="0"/>
              <w:right w:val="single" w:color="000000" w:sz="8" w:space="0"/>
            </w:tcBorders>
            <w:vAlign w:val="center"/>
          </w:tcPr>
          <w:p w14:paraId="00F90D4D">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21</w:t>
            </w:r>
          </w:p>
        </w:tc>
        <w:tc>
          <w:tcPr>
            <w:tcW w:w="2150" w:type="dxa"/>
            <w:tcBorders>
              <w:top w:val="nil"/>
              <w:left w:val="single" w:color="000000" w:sz="8" w:space="0"/>
              <w:bottom w:val="single" w:color="000000" w:sz="8" w:space="0"/>
              <w:right w:val="single" w:color="000000" w:sz="8" w:space="0"/>
            </w:tcBorders>
            <w:vAlign w:val="center"/>
          </w:tcPr>
          <w:p w14:paraId="366EAE84">
            <w:pPr>
              <w:keepNext w:val="0"/>
              <w:keepLines w:val="0"/>
              <w:suppressLineNumbers w:val="0"/>
              <w:spacing w:before="0" w:beforeAutospacing="0" w:after="0" w:afterAutospacing="0" w:line="440" w:lineRule="exact"/>
              <w:ind w:left="0" w:right="0"/>
              <w:jc w:val="center"/>
              <w:rPr>
                <w:rFonts w:hint="eastAsia" w:ascii="仿宋" w:hAnsi="仿宋" w:eastAsia="仿宋" w:cs="仿宋"/>
                <w:color w:val="000000"/>
                <w:sz w:val="24"/>
                <w:szCs w:val="24"/>
              </w:rPr>
            </w:pPr>
            <w:r>
              <w:rPr>
                <w:rFonts w:hint="eastAsia" w:ascii="仿宋" w:hAnsi="仿宋" w:eastAsia="仿宋" w:cs="仿宋"/>
                <w:color w:val="000000"/>
                <w:sz w:val="24"/>
                <w:szCs w:val="24"/>
              </w:rPr>
              <w:t>电容4、联络柜1、高压柜4</w:t>
            </w:r>
          </w:p>
        </w:tc>
      </w:tr>
      <w:tr w14:paraId="2C8C810B">
        <w:tblPrEx>
          <w:tblCellMar>
            <w:top w:w="0" w:type="dxa"/>
            <w:left w:w="108" w:type="dxa"/>
            <w:bottom w:w="0" w:type="dxa"/>
            <w:right w:w="108" w:type="dxa"/>
          </w:tblCellMar>
        </w:tblPrEx>
        <w:trPr>
          <w:trHeight w:val="403" w:hRule="atLeast"/>
        </w:trPr>
        <w:tc>
          <w:tcPr>
            <w:tcW w:w="860" w:type="dxa"/>
            <w:tcBorders>
              <w:top w:val="nil"/>
              <w:left w:val="single" w:color="000000" w:sz="8" w:space="0"/>
              <w:bottom w:val="single" w:color="000000" w:sz="8" w:space="0"/>
              <w:right w:val="single" w:color="000000" w:sz="8" w:space="0"/>
            </w:tcBorders>
            <w:vAlign w:val="center"/>
          </w:tcPr>
          <w:p w14:paraId="497340FC">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w:t>
            </w:r>
          </w:p>
        </w:tc>
        <w:tc>
          <w:tcPr>
            <w:tcW w:w="3399" w:type="dxa"/>
            <w:tcBorders>
              <w:top w:val="nil"/>
              <w:left w:val="single" w:color="000000" w:sz="8" w:space="0"/>
              <w:bottom w:val="single" w:color="000000" w:sz="8" w:space="0"/>
              <w:right w:val="single" w:color="000000" w:sz="8" w:space="0"/>
            </w:tcBorders>
            <w:vAlign w:val="center"/>
          </w:tcPr>
          <w:p w14:paraId="4C0AC965">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8号体育馆2#专变</w:t>
            </w:r>
          </w:p>
        </w:tc>
        <w:tc>
          <w:tcPr>
            <w:tcW w:w="1550" w:type="dxa"/>
            <w:tcBorders>
              <w:top w:val="nil"/>
              <w:left w:val="single" w:color="000000" w:sz="8" w:space="0"/>
              <w:bottom w:val="single" w:color="000000" w:sz="8" w:space="0"/>
              <w:right w:val="single" w:color="000000" w:sz="8" w:space="0"/>
            </w:tcBorders>
            <w:vAlign w:val="center"/>
          </w:tcPr>
          <w:p w14:paraId="475C7762">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2*1600</w:t>
            </w:r>
          </w:p>
        </w:tc>
        <w:tc>
          <w:tcPr>
            <w:tcW w:w="1000" w:type="dxa"/>
            <w:tcBorders>
              <w:top w:val="nil"/>
              <w:left w:val="single" w:color="000000" w:sz="8" w:space="0"/>
              <w:bottom w:val="single" w:color="000000" w:sz="8" w:space="0"/>
              <w:right w:val="single" w:color="000000" w:sz="8" w:space="0"/>
            </w:tcBorders>
            <w:vAlign w:val="center"/>
          </w:tcPr>
          <w:p w14:paraId="485D6E63">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30</w:t>
            </w:r>
          </w:p>
        </w:tc>
        <w:tc>
          <w:tcPr>
            <w:tcW w:w="2150" w:type="dxa"/>
            <w:tcBorders>
              <w:top w:val="nil"/>
              <w:left w:val="single" w:color="000000" w:sz="8" w:space="0"/>
              <w:bottom w:val="single" w:color="000000" w:sz="8" w:space="0"/>
              <w:right w:val="single" w:color="000000" w:sz="8" w:space="0"/>
            </w:tcBorders>
            <w:vAlign w:val="center"/>
          </w:tcPr>
          <w:p w14:paraId="63E7EF64">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电容柜4、联络柜1、高压柜12、直流屏1</w:t>
            </w:r>
          </w:p>
        </w:tc>
      </w:tr>
      <w:tr w14:paraId="018E6B71">
        <w:tblPrEx>
          <w:tblCellMar>
            <w:top w:w="0" w:type="dxa"/>
            <w:left w:w="108" w:type="dxa"/>
            <w:bottom w:w="0" w:type="dxa"/>
            <w:right w:w="108" w:type="dxa"/>
          </w:tblCellMar>
        </w:tblPrEx>
        <w:trPr>
          <w:trHeight w:val="325" w:hRule="atLeast"/>
        </w:trPr>
        <w:tc>
          <w:tcPr>
            <w:tcW w:w="860" w:type="dxa"/>
            <w:tcBorders>
              <w:top w:val="nil"/>
              <w:left w:val="single" w:color="000000" w:sz="8" w:space="0"/>
              <w:bottom w:val="single" w:color="000000" w:sz="8" w:space="0"/>
              <w:right w:val="single" w:color="000000" w:sz="8" w:space="0"/>
            </w:tcBorders>
            <w:vAlign w:val="center"/>
          </w:tcPr>
          <w:p w14:paraId="4B8B3C28">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3</w:t>
            </w:r>
          </w:p>
        </w:tc>
        <w:tc>
          <w:tcPr>
            <w:tcW w:w="3399" w:type="dxa"/>
            <w:tcBorders>
              <w:top w:val="nil"/>
              <w:left w:val="single" w:color="000000" w:sz="8" w:space="0"/>
              <w:bottom w:val="single" w:color="000000" w:sz="8" w:space="0"/>
              <w:right w:val="single" w:color="000000" w:sz="8" w:space="0"/>
            </w:tcBorders>
            <w:vAlign w:val="center"/>
          </w:tcPr>
          <w:p w14:paraId="5E2FA1C6">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10号图书馆3#专变</w:t>
            </w:r>
          </w:p>
        </w:tc>
        <w:tc>
          <w:tcPr>
            <w:tcW w:w="1550" w:type="dxa"/>
            <w:tcBorders>
              <w:top w:val="nil"/>
              <w:left w:val="single" w:color="000000" w:sz="8" w:space="0"/>
              <w:bottom w:val="single" w:color="000000" w:sz="8" w:space="0"/>
              <w:right w:val="single" w:color="000000" w:sz="8" w:space="0"/>
            </w:tcBorders>
            <w:vAlign w:val="center"/>
          </w:tcPr>
          <w:p w14:paraId="5D374E32">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2*1600</w:t>
            </w:r>
          </w:p>
        </w:tc>
        <w:tc>
          <w:tcPr>
            <w:tcW w:w="1000" w:type="dxa"/>
            <w:tcBorders>
              <w:top w:val="nil"/>
              <w:left w:val="single" w:color="000000" w:sz="8" w:space="0"/>
              <w:bottom w:val="single" w:color="000000" w:sz="8" w:space="0"/>
              <w:right w:val="single" w:color="000000" w:sz="8" w:space="0"/>
            </w:tcBorders>
            <w:vAlign w:val="center"/>
          </w:tcPr>
          <w:p w14:paraId="24B5608B">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22</w:t>
            </w:r>
          </w:p>
        </w:tc>
        <w:tc>
          <w:tcPr>
            <w:tcW w:w="2150" w:type="dxa"/>
            <w:tcBorders>
              <w:top w:val="nil"/>
              <w:left w:val="single" w:color="000000" w:sz="8" w:space="0"/>
              <w:bottom w:val="single" w:color="000000" w:sz="8" w:space="0"/>
              <w:right w:val="single" w:color="000000" w:sz="8" w:space="0"/>
            </w:tcBorders>
            <w:vAlign w:val="center"/>
          </w:tcPr>
          <w:p w14:paraId="5818941B">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电容柜4、联络柜1、发电机1、高压柜4</w:t>
            </w:r>
          </w:p>
        </w:tc>
      </w:tr>
      <w:tr w14:paraId="41147347">
        <w:tblPrEx>
          <w:tblCellMar>
            <w:top w:w="0" w:type="dxa"/>
            <w:left w:w="108" w:type="dxa"/>
            <w:bottom w:w="0" w:type="dxa"/>
            <w:right w:w="108" w:type="dxa"/>
          </w:tblCellMar>
        </w:tblPrEx>
        <w:trPr>
          <w:trHeight w:val="359" w:hRule="atLeast"/>
        </w:trPr>
        <w:tc>
          <w:tcPr>
            <w:tcW w:w="860" w:type="dxa"/>
            <w:tcBorders>
              <w:top w:val="nil"/>
              <w:left w:val="single" w:color="000000" w:sz="8" w:space="0"/>
              <w:bottom w:val="single" w:color="000000" w:sz="8" w:space="0"/>
              <w:right w:val="single" w:color="000000" w:sz="8" w:space="0"/>
            </w:tcBorders>
            <w:vAlign w:val="center"/>
          </w:tcPr>
          <w:p w14:paraId="7A4751F0">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4</w:t>
            </w:r>
          </w:p>
        </w:tc>
        <w:tc>
          <w:tcPr>
            <w:tcW w:w="3399" w:type="dxa"/>
            <w:tcBorders>
              <w:top w:val="nil"/>
              <w:left w:val="single" w:color="000000" w:sz="8" w:space="0"/>
              <w:bottom w:val="single" w:color="000000" w:sz="8" w:space="0"/>
              <w:right w:val="single" w:color="000000" w:sz="8" w:space="0"/>
            </w:tcBorders>
            <w:vAlign w:val="center"/>
          </w:tcPr>
          <w:p w14:paraId="79BE8028">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11号师生活动中心4#专变</w:t>
            </w:r>
          </w:p>
        </w:tc>
        <w:tc>
          <w:tcPr>
            <w:tcW w:w="1550" w:type="dxa"/>
            <w:tcBorders>
              <w:top w:val="nil"/>
              <w:left w:val="single" w:color="000000" w:sz="8" w:space="0"/>
              <w:bottom w:val="single" w:color="000000" w:sz="8" w:space="0"/>
              <w:right w:val="single" w:color="000000" w:sz="8" w:space="0"/>
            </w:tcBorders>
            <w:vAlign w:val="center"/>
          </w:tcPr>
          <w:p w14:paraId="18B03E0D">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2*800</w:t>
            </w:r>
          </w:p>
        </w:tc>
        <w:tc>
          <w:tcPr>
            <w:tcW w:w="1000" w:type="dxa"/>
            <w:tcBorders>
              <w:top w:val="nil"/>
              <w:left w:val="single" w:color="000000" w:sz="8" w:space="0"/>
              <w:bottom w:val="single" w:color="000000" w:sz="8" w:space="0"/>
              <w:right w:val="single" w:color="000000" w:sz="8" w:space="0"/>
            </w:tcBorders>
            <w:vAlign w:val="center"/>
          </w:tcPr>
          <w:p w14:paraId="58E26A49">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17</w:t>
            </w:r>
          </w:p>
        </w:tc>
        <w:tc>
          <w:tcPr>
            <w:tcW w:w="2150" w:type="dxa"/>
            <w:tcBorders>
              <w:top w:val="nil"/>
              <w:left w:val="single" w:color="000000" w:sz="8" w:space="0"/>
              <w:bottom w:val="single" w:color="000000" w:sz="8" w:space="0"/>
              <w:right w:val="single" w:color="000000" w:sz="8" w:space="0"/>
            </w:tcBorders>
            <w:vAlign w:val="center"/>
          </w:tcPr>
          <w:p w14:paraId="42800E54">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电容柜2、联络柜1、高压柜4</w:t>
            </w:r>
          </w:p>
        </w:tc>
      </w:tr>
      <w:tr w14:paraId="3901F50A">
        <w:tblPrEx>
          <w:tblCellMar>
            <w:top w:w="0" w:type="dxa"/>
            <w:left w:w="108" w:type="dxa"/>
            <w:bottom w:w="0" w:type="dxa"/>
            <w:right w:w="108" w:type="dxa"/>
          </w:tblCellMar>
        </w:tblPrEx>
        <w:trPr>
          <w:trHeight w:val="465" w:hRule="atLeast"/>
        </w:trPr>
        <w:tc>
          <w:tcPr>
            <w:tcW w:w="860" w:type="dxa"/>
            <w:tcBorders>
              <w:top w:val="nil"/>
              <w:left w:val="single" w:color="000000" w:sz="8" w:space="0"/>
              <w:bottom w:val="single" w:color="000000" w:sz="8" w:space="0"/>
              <w:right w:val="single" w:color="000000" w:sz="8" w:space="0"/>
            </w:tcBorders>
            <w:vAlign w:val="center"/>
          </w:tcPr>
          <w:p w14:paraId="3199BA4B">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5</w:t>
            </w:r>
          </w:p>
        </w:tc>
        <w:tc>
          <w:tcPr>
            <w:tcW w:w="3399" w:type="dxa"/>
            <w:tcBorders>
              <w:top w:val="nil"/>
              <w:left w:val="single" w:color="000000" w:sz="8" w:space="0"/>
              <w:bottom w:val="single" w:color="000000" w:sz="8" w:space="0"/>
              <w:right w:val="single" w:color="000000" w:sz="8" w:space="0"/>
            </w:tcBorders>
            <w:vAlign w:val="center"/>
          </w:tcPr>
          <w:p w14:paraId="46E06463">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13号公共教学楼5#专变</w:t>
            </w:r>
          </w:p>
        </w:tc>
        <w:tc>
          <w:tcPr>
            <w:tcW w:w="1550" w:type="dxa"/>
            <w:tcBorders>
              <w:top w:val="nil"/>
              <w:left w:val="single" w:color="000000" w:sz="8" w:space="0"/>
              <w:bottom w:val="single" w:color="000000" w:sz="8" w:space="0"/>
              <w:right w:val="single" w:color="000000" w:sz="8" w:space="0"/>
            </w:tcBorders>
            <w:vAlign w:val="center"/>
          </w:tcPr>
          <w:p w14:paraId="5275403A">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2*1250</w:t>
            </w:r>
          </w:p>
        </w:tc>
        <w:tc>
          <w:tcPr>
            <w:tcW w:w="1000" w:type="dxa"/>
            <w:tcBorders>
              <w:top w:val="nil"/>
              <w:left w:val="single" w:color="000000" w:sz="8" w:space="0"/>
              <w:bottom w:val="single" w:color="000000" w:sz="8" w:space="0"/>
              <w:right w:val="single" w:color="000000" w:sz="8" w:space="0"/>
            </w:tcBorders>
            <w:vAlign w:val="center"/>
          </w:tcPr>
          <w:p w14:paraId="56C215BA">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17</w:t>
            </w:r>
          </w:p>
        </w:tc>
        <w:tc>
          <w:tcPr>
            <w:tcW w:w="2150" w:type="dxa"/>
            <w:tcBorders>
              <w:top w:val="nil"/>
              <w:left w:val="single" w:color="000000" w:sz="8" w:space="0"/>
              <w:bottom w:val="single" w:color="000000" w:sz="8" w:space="0"/>
              <w:right w:val="single" w:color="000000" w:sz="8" w:space="0"/>
            </w:tcBorders>
            <w:vAlign w:val="center"/>
          </w:tcPr>
          <w:p w14:paraId="2E77EA9B">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电容柜4、联络柜1、高压柜4</w:t>
            </w:r>
          </w:p>
        </w:tc>
      </w:tr>
      <w:tr w14:paraId="17856751">
        <w:tblPrEx>
          <w:tblCellMar>
            <w:top w:w="0" w:type="dxa"/>
            <w:left w:w="108" w:type="dxa"/>
            <w:bottom w:w="0" w:type="dxa"/>
            <w:right w:w="108" w:type="dxa"/>
          </w:tblCellMar>
        </w:tblPrEx>
        <w:trPr>
          <w:trHeight w:val="360" w:hRule="atLeast"/>
        </w:trPr>
        <w:tc>
          <w:tcPr>
            <w:tcW w:w="860" w:type="dxa"/>
            <w:tcBorders>
              <w:top w:val="nil"/>
              <w:left w:val="single" w:color="000000" w:sz="8" w:space="0"/>
              <w:bottom w:val="single" w:color="000000" w:sz="8" w:space="0"/>
              <w:right w:val="single" w:color="000000" w:sz="8" w:space="0"/>
            </w:tcBorders>
            <w:vAlign w:val="center"/>
          </w:tcPr>
          <w:p w14:paraId="58275528">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6</w:t>
            </w:r>
          </w:p>
        </w:tc>
        <w:tc>
          <w:tcPr>
            <w:tcW w:w="3399" w:type="dxa"/>
            <w:tcBorders>
              <w:top w:val="nil"/>
              <w:left w:val="single" w:color="000000" w:sz="8" w:space="0"/>
              <w:bottom w:val="single" w:color="000000" w:sz="8" w:space="0"/>
              <w:right w:val="single" w:color="000000" w:sz="8" w:space="0"/>
            </w:tcBorders>
            <w:vAlign w:val="center"/>
          </w:tcPr>
          <w:p w14:paraId="5C38EF48">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14号公共教学楼6#专变</w:t>
            </w:r>
          </w:p>
        </w:tc>
        <w:tc>
          <w:tcPr>
            <w:tcW w:w="1550" w:type="dxa"/>
            <w:tcBorders>
              <w:top w:val="nil"/>
              <w:left w:val="single" w:color="000000" w:sz="8" w:space="0"/>
              <w:bottom w:val="single" w:color="000000" w:sz="8" w:space="0"/>
              <w:right w:val="single" w:color="000000" w:sz="8" w:space="0"/>
            </w:tcBorders>
            <w:vAlign w:val="center"/>
          </w:tcPr>
          <w:p w14:paraId="0BC844A1">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2*1600</w:t>
            </w:r>
          </w:p>
        </w:tc>
        <w:tc>
          <w:tcPr>
            <w:tcW w:w="1000" w:type="dxa"/>
            <w:tcBorders>
              <w:top w:val="nil"/>
              <w:left w:val="single" w:color="000000" w:sz="8" w:space="0"/>
              <w:bottom w:val="single" w:color="000000" w:sz="8" w:space="0"/>
              <w:right w:val="single" w:color="000000" w:sz="8" w:space="0"/>
            </w:tcBorders>
            <w:vAlign w:val="center"/>
          </w:tcPr>
          <w:p w14:paraId="1C8B44BE">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23</w:t>
            </w:r>
          </w:p>
        </w:tc>
        <w:tc>
          <w:tcPr>
            <w:tcW w:w="2150" w:type="dxa"/>
            <w:tcBorders>
              <w:top w:val="nil"/>
              <w:left w:val="single" w:color="000000" w:sz="8" w:space="0"/>
              <w:bottom w:val="single" w:color="000000" w:sz="8" w:space="0"/>
              <w:right w:val="single" w:color="000000" w:sz="8" w:space="0"/>
            </w:tcBorders>
            <w:vAlign w:val="center"/>
          </w:tcPr>
          <w:p w14:paraId="3164EAA8">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电容柜4、联络柜1、高压柜4</w:t>
            </w:r>
          </w:p>
        </w:tc>
      </w:tr>
      <w:tr w14:paraId="5A1CFB4E">
        <w:tblPrEx>
          <w:tblCellMar>
            <w:top w:w="0" w:type="dxa"/>
            <w:left w:w="108" w:type="dxa"/>
            <w:bottom w:w="0" w:type="dxa"/>
            <w:right w:w="108" w:type="dxa"/>
          </w:tblCellMar>
        </w:tblPrEx>
        <w:trPr>
          <w:trHeight w:val="458" w:hRule="atLeast"/>
        </w:trPr>
        <w:tc>
          <w:tcPr>
            <w:tcW w:w="860" w:type="dxa"/>
            <w:tcBorders>
              <w:top w:val="nil"/>
              <w:left w:val="single" w:color="000000" w:sz="8" w:space="0"/>
              <w:bottom w:val="single" w:color="000000" w:sz="8" w:space="0"/>
              <w:right w:val="single" w:color="000000" w:sz="8" w:space="0"/>
            </w:tcBorders>
            <w:vAlign w:val="center"/>
          </w:tcPr>
          <w:p w14:paraId="644D425A">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7</w:t>
            </w:r>
          </w:p>
        </w:tc>
        <w:tc>
          <w:tcPr>
            <w:tcW w:w="3399" w:type="dxa"/>
            <w:tcBorders>
              <w:top w:val="nil"/>
              <w:left w:val="single" w:color="000000" w:sz="8" w:space="0"/>
              <w:bottom w:val="single" w:color="000000" w:sz="8" w:space="0"/>
              <w:right w:val="single" w:color="000000" w:sz="8" w:space="0"/>
            </w:tcBorders>
            <w:vAlign w:val="center"/>
          </w:tcPr>
          <w:p w14:paraId="136EC261">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22B南太湖实训中心7#专变</w:t>
            </w:r>
          </w:p>
        </w:tc>
        <w:tc>
          <w:tcPr>
            <w:tcW w:w="1550" w:type="dxa"/>
            <w:tcBorders>
              <w:top w:val="nil"/>
              <w:left w:val="single" w:color="000000" w:sz="8" w:space="0"/>
              <w:bottom w:val="single" w:color="000000" w:sz="8" w:space="0"/>
              <w:right w:val="single" w:color="000000" w:sz="8" w:space="0"/>
            </w:tcBorders>
            <w:vAlign w:val="center"/>
          </w:tcPr>
          <w:p w14:paraId="2A41551B">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2*2000</w:t>
            </w:r>
          </w:p>
        </w:tc>
        <w:tc>
          <w:tcPr>
            <w:tcW w:w="1000" w:type="dxa"/>
            <w:tcBorders>
              <w:top w:val="nil"/>
              <w:left w:val="single" w:color="000000" w:sz="8" w:space="0"/>
              <w:bottom w:val="single" w:color="000000" w:sz="8" w:space="0"/>
              <w:right w:val="single" w:color="000000" w:sz="8" w:space="0"/>
            </w:tcBorders>
            <w:vAlign w:val="center"/>
          </w:tcPr>
          <w:p w14:paraId="3298EDA6">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36</w:t>
            </w:r>
          </w:p>
        </w:tc>
        <w:tc>
          <w:tcPr>
            <w:tcW w:w="2150" w:type="dxa"/>
            <w:tcBorders>
              <w:top w:val="nil"/>
              <w:left w:val="single" w:color="000000" w:sz="8" w:space="0"/>
              <w:bottom w:val="single" w:color="000000" w:sz="8" w:space="0"/>
              <w:right w:val="single" w:color="000000" w:sz="8" w:space="0"/>
            </w:tcBorders>
            <w:vAlign w:val="center"/>
          </w:tcPr>
          <w:p w14:paraId="4D25F44A">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电容柜4、联络柜1、高压柜16、直流屏1</w:t>
            </w:r>
          </w:p>
        </w:tc>
      </w:tr>
      <w:tr w14:paraId="1C0481EF">
        <w:tblPrEx>
          <w:tblCellMar>
            <w:top w:w="0" w:type="dxa"/>
            <w:left w:w="108" w:type="dxa"/>
            <w:bottom w:w="0" w:type="dxa"/>
            <w:right w:w="108" w:type="dxa"/>
          </w:tblCellMar>
        </w:tblPrEx>
        <w:trPr>
          <w:trHeight w:val="90" w:hRule="atLeast"/>
        </w:trPr>
        <w:tc>
          <w:tcPr>
            <w:tcW w:w="860" w:type="dxa"/>
            <w:tcBorders>
              <w:top w:val="nil"/>
              <w:left w:val="single" w:color="000000" w:sz="8" w:space="0"/>
              <w:bottom w:val="single" w:color="000000" w:sz="8" w:space="0"/>
              <w:right w:val="single" w:color="000000" w:sz="8" w:space="0"/>
            </w:tcBorders>
            <w:vAlign w:val="center"/>
          </w:tcPr>
          <w:p w14:paraId="4F9CB984">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8</w:t>
            </w:r>
          </w:p>
        </w:tc>
        <w:tc>
          <w:tcPr>
            <w:tcW w:w="3399" w:type="dxa"/>
            <w:tcBorders>
              <w:top w:val="nil"/>
              <w:left w:val="single" w:color="000000" w:sz="8" w:space="0"/>
              <w:bottom w:val="single" w:color="000000" w:sz="8" w:space="0"/>
              <w:right w:val="single" w:color="000000" w:sz="8" w:space="0"/>
            </w:tcBorders>
            <w:vAlign w:val="center"/>
          </w:tcPr>
          <w:p w14:paraId="5BF10969">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S2学生宿舍8#专变</w:t>
            </w:r>
          </w:p>
        </w:tc>
        <w:tc>
          <w:tcPr>
            <w:tcW w:w="1550" w:type="dxa"/>
            <w:tcBorders>
              <w:top w:val="nil"/>
              <w:left w:val="single" w:color="000000" w:sz="8" w:space="0"/>
              <w:bottom w:val="single" w:color="000000" w:sz="8" w:space="0"/>
              <w:right w:val="single" w:color="000000" w:sz="8" w:space="0"/>
            </w:tcBorders>
            <w:vAlign w:val="center"/>
          </w:tcPr>
          <w:p w14:paraId="4DC78978">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2*2000</w:t>
            </w:r>
          </w:p>
        </w:tc>
        <w:tc>
          <w:tcPr>
            <w:tcW w:w="1000" w:type="dxa"/>
            <w:tcBorders>
              <w:top w:val="nil"/>
              <w:left w:val="single" w:color="000000" w:sz="8" w:space="0"/>
              <w:bottom w:val="single" w:color="000000" w:sz="8" w:space="0"/>
              <w:right w:val="single" w:color="000000" w:sz="8" w:space="0"/>
            </w:tcBorders>
            <w:vAlign w:val="center"/>
          </w:tcPr>
          <w:p w14:paraId="33D066A8">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21</w:t>
            </w:r>
          </w:p>
        </w:tc>
        <w:tc>
          <w:tcPr>
            <w:tcW w:w="2150" w:type="dxa"/>
            <w:tcBorders>
              <w:top w:val="nil"/>
              <w:left w:val="single" w:color="000000" w:sz="8" w:space="0"/>
              <w:bottom w:val="single" w:color="000000" w:sz="8" w:space="0"/>
              <w:right w:val="single" w:color="000000" w:sz="8" w:space="0"/>
            </w:tcBorders>
            <w:vAlign w:val="center"/>
          </w:tcPr>
          <w:p w14:paraId="398697D5">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电容柜4、联络柜1、高压柜4</w:t>
            </w:r>
          </w:p>
        </w:tc>
      </w:tr>
      <w:tr w14:paraId="46F404D1">
        <w:tblPrEx>
          <w:tblCellMar>
            <w:top w:w="0" w:type="dxa"/>
            <w:left w:w="108" w:type="dxa"/>
            <w:bottom w:w="0" w:type="dxa"/>
            <w:right w:w="108" w:type="dxa"/>
          </w:tblCellMar>
        </w:tblPrEx>
        <w:trPr>
          <w:trHeight w:val="540" w:hRule="atLeast"/>
        </w:trPr>
        <w:tc>
          <w:tcPr>
            <w:tcW w:w="860" w:type="dxa"/>
            <w:tcBorders>
              <w:top w:val="nil"/>
              <w:left w:val="single" w:color="000000" w:sz="8" w:space="0"/>
              <w:bottom w:val="single" w:color="000000" w:sz="8" w:space="0"/>
              <w:right w:val="single" w:color="000000" w:sz="8" w:space="0"/>
            </w:tcBorders>
            <w:vAlign w:val="center"/>
          </w:tcPr>
          <w:p w14:paraId="4286F3F2">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9</w:t>
            </w:r>
          </w:p>
        </w:tc>
        <w:tc>
          <w:tcPr>
            <w:tcW w:w="3399" w:type="dxa"/>
            <w:tcBorders>
              <w:top w:val="nil"/>
              <w:left w:val="single" w:color="000000" w:sz="8" w:space="0"/>
              <w:bottom w:val="single" w:color="000000" w:sz="8" w:space="0"/>
              <w:right w:val="single" w:color="000000" w:sz="8" w:space="0"/>
            </w:tcBorders>
            <w:vAlign w:val="center"/>
          </w:tcPr>
          <w:p w14:paraId="1E7F3CE9">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东体育场9#专变</w:t>
            </w:r>
          </w:p>
        </w:tc>
        <w:tc>
          <w:tcPr>
            <w:tcW w:w="1550" w:type="dxa"/>
            <w:tcBorders>
              <w:top w:val="nil"/>
              <w:left w:val="single" w:color="000000" w:sz="8" w:space="0"/>
              <w:bottom w:val="single" w:color="000000" w:sz="8" w:space="0"/>
              <w:right w:val="single" w:color="000000" w:sz="8" w:space="0"/>
            </w:tcBorders>
            <w:vAlign w:val="center"/>
          </w:tcPr>
          <w:p w14:paraId="45BC1ED4">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2*2000</w:t>
            </w:r>
          </w:p>
        </w:tc>
        <w:tc>
          <w:tcPr>
            <w:tcW w:w="1000" w:type="dxa"/>
            <w:tcBorders>
              <w:top w:val="nil"/>
              <w:left w:val="single" w:color="000000" w:sz="8" w:space="0"/>
              <w:bottom w:val="single" w:color="000000" w:sz="8" w:space="0"/>
              <w:right w:val="single" w:color="000000" w:sz="8" w:space="0"/>
            </w:tcBorders>
            <w:vAlign w:val="center"/>
          </w:tcPr>
          <w:p w14:paraId="43A7D4FE">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23</w:t>
            </w:r>
          </w:p>
        </w:tc>
        <w:tc>
          <w:tcPr>
            <w:tcW w:w="2150" w:type="dxa"/>
            <w:tcBorders>
              <w:top w:val="nil"/>
              <w:left w:val="single" w:color="000000" w:sz="8" w:space="0"/>
              <w:bottom w:val="single" w:color="000000" w:sz="8" w:space="0"/>
              <w:right w:val="single" w:color="000000" w:sz="8" w:space="0"/>
            </w:tcBorders>
            <w:vAlign w:val="center"/>
          </w:tcPr>
          <w:p w14:paraId="202F7238">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电容柜4、联络柜1、高压柜4</w:t>
            </w:r>
          </w:p>
        </w:tc>
      </w:tr>
      <w:tr w14:paraId="08122A39">
        <w:tblPrEx>
          <w:tblCellMar>
            <w:top w:w="0" w:type="dxa"/>
            <w:left w:w="108" w:type="dxa"/>
            <w:bottom w:w="0" w:type="dxa"/>
            <w:right w:w="108" w:type="dxa"/>
          </w:tblCellMar>
        </w:tblPrEx>
        <w:trPr>
          <w:trHeight w:val="330" w:hRule="atLeast"/>
        </w:trPr>
        <w:tc>
          <w:tcPr>
            <w:tcW w:w="860" w:type="dxa"/>
            <w:tcBorders>
              <w:top w:val="nil"/>
              <w:left w:val="single" w:color="000000" w:sz="8" w:space="0"/>
              <w:bottom w:val="single" w:color="000000" w:sz="8" w:space="0"/>
              <w:right w:val="single" w:color="000000" w:sz="8" w:space="0"/>
            </w:tcBorders>
            <w:vAlign w:val="center"/>
          </w:tcPr>
          <w:p w14:paraId="4CDF130B">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10</w:t>
            </w:r>
          </w:p>
        </w:tc>
        <w:tc>
          <w:tcPr>
            <w:tcW w:w="3399" w:type="dxa"/>
            <w:tcBorders>
              <w:top w:val="nil"/>
              <w:left w:val="single" w:color="000000" w:sz="8" w:space="0"/>
              <w:bottom w:val="single" w:color="000000" w:sz="8" w:space="0"/>
              <w:right w:val="single" w:color="000000" w:sz="8" w:space="0"/>
            </w:tcBorders>
            <w:vAlign w:val="center"/>
          </w:tcPr>
          <w:p w14:paraId="1ADA18D6">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20号西食堂10#专变</w:t>
            </w:r>
          </w:p>
        </w:tc>
        <w:tc>
          <w:tcPr>
            <w:tcW w:w="1550" w:type="dxa"/>
            <w:tcBorders>
              <w:top w:val="nil"/>
              <w:left w:val="single" w:color="000000" w:sz="8" w:space="0"/>
              <w:bottom w:val="single" w:color="000000" w:sz="8" w:space="0"/>
              <w:right w:val="single" w:color="000000" w:sz="8" w:space="0"/>
            </w:tcBorders>
            <w:vAlign w:val="center"/>
          </w:tcPr>
          <w:p w14:paraId="1D0ADC3C">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2*1600</w:t>
            </w:r>
          </w:p>
        </w:tc>
        <w:tc>
          <w:tcPr>
            <w:tcW w:w="1000" w:type="dxa"/>
            <w:tcBorders>
              <w:top w:val="nil"/>
              <w:left w:val="single" w:color="000000" w:sz="8" w:space="0"/>
              <w:bottom w:val="single" w:color="000000" w:sz="8" w:space="0"/>
              <w:right w:val="single" w:color="000000" w:sz="8" w:space="0"/>
            </w:tcBorders>
            <w:vAlign w:val="center"/>
          </w:tcPr>
          <w:p w14:paraId="45413528">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28</w:t>
            </w:r>
          </w:p>
        </w:tc>
        <w:tc>
          <w:tcPr>
            <w:tcW w:w="2150" w:type="dxa"/>
            <w:tcBorders>
              <w:top w:val="nil"/>
              <w:left w:val="single" w:color="000000" w:sz="8" w:space="0"/>
              <w:bottom w:val="single" w:color="000000" w:sz="8" w:space="0"/>
              <w:right w:val="single" w:color="000000" w:sz="8" w:space="0"/>
            </w:tcBorders>
            <w:vAlign w:val="center"/>
          </w:tcPr>
          <w:p w14:paraId="0321B9FF">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电容柜4、联络柜1、高压柜10、直流屏1</w:t>
            </w:r>
          </w:p>
        </w:tc>
      </w:tr>
      <w:tr w14:paraId="637A2F26">
        <w:tblPrEx>
          <w:tblCellMar>
            <w:top w:w="0" w:type="dxa"/>
            <w:left w:w="108" w:type="dxa"/>
            <w:bottom w:w="0" w:type="dxa"/>
            <w:right w:w="108" w:type="dxa"/>
          </w:tblCellMar>
        </w:tblPrEx>
        <w:trPr>
          <w:trHeight w:val="474" w:hRule="atLeast"/>
        </w:trPr>
        <w:tc>
          <w:tcPr>
            <w:tcW w:w="860" w:type="dxa"/>
            <w:tcBorders>
              <w:top w:val="nil"/>
              <w:left w:val="single" w:color="000000" w:sz="8" w:space="0"/>
              <w:bottom w:val="single" w:color="000000" w:sz="8" w:space="0"/>
              <w:right w:val="single" w:color="000000" w:sz="8" w:space="0"/>
            </w:tcBorders>
            <w:vAlign w:val="center"/>
          </w:tcPr>
          <w:p w14:paraId="36881DC6">
            <w:pPr>
              <w:keepNext w:val="0"/>
              <w:keepLines w:val="0"/>
              <w:widowControl/>
              <w:suppressLineNumbers w:val="0"/>
              <w:spacing w:before="0" w:beforeAutospacing="0" w:after="0" w:afterAutospacing="0" w:line="440" w:lineRule="exact"/>
              <w:ind w:left="0" w:right="0"/>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合计</w:t>
            </w:r>
          </w:p>
        </w:tc>
        <w:tc>
          <w:tcPr>
            <w:tcW w:w="3399" w:type="dxa"/>
            <w:tcBorders>
              <w:top w:val="nil"/>
              <w:left w:val="single" w:color="000000" w:sz="8" w:space="0"/>
              <w:bottom w:val="single" w:color="000000" w:sz="8" w:space="0"/>
              <w:right w:val="single" w:color="000000" w:sz="8" w:space="0"/>
            </w:tcBorders>
            <w:vAlign w:val="center"/>
          </w:tcPr>
          <w:p w14:paraId="65B6B8FA">
            <w:pPr>
              <w:keepNext w:val="0"/>
              <w:keepLines w:val="0"/>
              <w:suppressLineNumbers w:val="0"/>
              <w:spacing w:before="0" w:beforeAutospacing="0" w:after="0" w:afterAutospacing="0" w:line="440" w:lineRule="exact"/>
              <w:ind w:left="0" w:right="0"/>
              <w:jc w:val="center"/>
              <w:rPr>
                <w:rFonts w:hint="eastAsia" w:ascii="仿宋" w:hAnsi="仿宋" w:eastAsia="仿宋" w:cs="仿宋"/>
                <w:color w:val="000000"/>
                <w:sz w:val="24"/>
                <w:szCs w:val="24"/>
              </w:rPr>
            </w:pPr>
          </w:p>
        </w:tc>
        <w:tc>
          <w:tcPr>
            <w:tcW w:w="1550" w:type="dxa"/>
            <w:tcBorders>
              <w:top w:val="nil"/>
              <w:left w:val="single" w:color="000000" w:sz="8" w:space="0"/>
              <w:bottom w:val="single" w:color="000000" w:sz="8" w:space="0"/>
              <w:right w:val="single" w:color="000000" w:sz="8" w:space="0"/>
            </w:tcBorders>
            <w:vAlign w:val="center"/>
          </w:tcPr>
          <w:p w14:paraId="16C4BE1E">
            <w:pPr>
              <w:keepNext w:val="0"/>
              <w:keepLines w:val="0"/>
              <w:suppressLineNumbers w:val="0"/>
              <w:spacing w:before="0" w:beforeAutospacing="0" w:after="0" w:afterAutospacing="0" w:line="440" w:lineRule="exact"/>
              <w:ind w:left="0" w:right="0"/>
              <w:jc w:val="center"/>
              <w:rPr>
                <w:rFonts w:hint="eastAsia" w:ascii="仿宋" w:hAnsi="仿宋" w:eastAsia="仿宋" w:cs="仿宋"/>
                <w:color w:val="000000"/>
                <w:sz w:val="24"/>
                <w:szCs w:val="24"/>
              </w:rPr>
            </w:pPr>
          </w:p>
        </w:tc>
        <w:tc>
          <w:tcPr>
            <w:tcW w:w="1000" w:type="dxa"/>
            <w:tcBorders>
              <w:top w:val="nil"/>
              <w:left w:val="single" w:color="000000" w:sz="8" w:space="0"/>
              <w:bottom w:val="single" w:color="000000" w:sz="8" w:space="0"/>
              <w:right w:val="single" w:color="000000" w:sz="8" w:space="0"/>
            </w:tcBorders>
            <w:vAlign w:val="center"/>
          </w:tcPr>
          <w:p w14:paraId="1C5E0841">
            <w:pPr>
              <w:keepNext w:val="0"/>
              <w:keepLines w:val="0"/>
              <w:widowControl/>
              <w:suppressLineNumbers w:val="0"/>
              <w:spacing w:before="0" w:beforeAutospacing="0" w:after="0" w:afterAutospacing="0" w:line="440" w:lineRule="exact"/>
              <w:ind w:left="0" w:right="0"/>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highlight w:val="none"/>
                <w:lang w:val="en-US" w:eastAsia="zh-CN"/>
              </w:rPr>
              <w:t>238</w:t>
            </w:r>
          </w:p>
        </w:tc>
        <w:tc>
          <w:tcPr>
            <w:tcW w:w="2150" w:type="dxa"/>
            <w:tcBorders>
              <w:top w:val="nil"/>
              <w:left w:val="single" w:color="000000" w:sz="8" w:space="0"/>
              <w:bottom w:val="single" w:color="000000" w:sz="8" w:space="0"/>
              <w:right w:val="single" w:color="000000" w:sz="8" w:space="0"/>
            </w:tcBorders>
            <w:noWrap/>
            <w:vAlign w:val="center"/>
          </w:tcPr>
          <w:p w14:paraId="6C7CAA65">
            <w:pPr>
              <w:keepNext w:val="0"/>
              <w:keepLines w:val="0"/>
              <w:suppressLineNumbers w:val="0"/>
              <w:spacing w:before="0" w:beforeAutospacing="0" w:after="0" w:afterAutospacing="0" w:line="440" w:lineRule="exact"/>
              <w:ind w:left="0" w:right="0"/>
              <w:rPr>
                <w:rFonts w:hint="eastAsia" w:ascii="仿宋" w:hAnsi="仿宋" w:eastAsia="仿宋" w:cs="仿宋"/>
                <w:color w:val="000000"/>
                <w:sz w:val="24"/>
                <w:szCs w:val="24"/>
              </w:rPr>
            </w:pPr>
          </w:p>
        </w:tc>
      </w:tr>
    </w:tbl>
    <w:p w14:paraId="55B66D2C">
      <w:pPr>
        <w:spacing w:line="52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二、维保要求及内容</w:t>
      </w:r>
    </w:p>
    <w:p w14:paraId="493D2334">
      <w:pPr>
        <w:spacing w:line="52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（一）总体要求</w:t>
      </w:r>
    </w:p>
    <w:p w14:paraId="4BA0DCF3">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1.保证全校的用电安全正常运行；</w:t>
      </w:r>
    </w:p>
    <w:p w14:paraId="0012A891">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2.符合国家行业规定，具备电变配电房维保资质，且信誉良好；</w:t>
      </w:r>
    </w:p>
    <w:p w14:paraId="22828127">
      <w:pPr>
        <w:spacing w:line="52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rPr>
        <w:t>3.维保人员必须符合《电业安全工作规程》的有关规定，并持有高压电工作业证，电气试验证，继电保护作业证等，维保服务严格按照《电力用户变电所运行规程》（DB32/T 1702-201</w:t>
      </w:r>
      <w:r>
        <w:rPr>
          <w:rFonts w:hint="eastAsia" w:ascii="仿宋" w:hAnsi="仿宋" w:eastAsia="仿宋" w:cs="仿宋"/>
          <w:sz w:val="28"/>
          <w:szCs w:val="28"/>
          <w:highlight w:val="none"/>
        </w:rPr>
        <w:t>0）</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《电力用户供配电设施运行维护规范》（GB/T 37136-2018）</w:t>
      </w:r>
      <w:r>
        <w:rPr>
          <w:rFonts w:hint="eastAsia" w:ascii="仿宋" w:hAnsi="仿宋" w:eastAsia="仿宋" w:cs="仿宋"/>
          <w:sz w:val="28"/>
          <w:szCs w:val="28"/>
          <w:highlight w:val="none"/>
          <w:lang w:val="en-US" w:eastAsia="zh-CN"/>
        </w:rPr>
        <w:t>等标准规范</w:t>
      </w:r>
      <w:r>
        <w:rPr>
          <w:rFonts w:hint="eastAsia" w:ascii="仿宋" w:hAnsi="仿宋" w:eastAsia="仿宋" w:cs="仿宋"/>
          <w:sz w:val="28"/>
          <w:szCs w:val="28"/>
          <w:highlight w:val="none"/>
        </w:rPr>
        <w:t>执行。</w:t>
      </w:r>
    </w:p>
    <w:p w14:paraId="78099161">
      <w:pPr>
        <w:spacing w:line="520" w:lineRule="exact"/>
        <w:ind w:firstLine="562" w:firstLineChars="200"/>
        <w:rPr>
          <w:rFonts w:hint="eastAsia" w:ascii="仿宋" w:hAnsi="仿宋" w:eastAsia="仿宋" w:cs="仿宋"/>
          <w:b/>
          <w:sz w:val="28"/>
          <w:szCs w:val="28"/>
          <w:highlight w:val="none"/>
        </w:rPr>
      </w:pPr>
      <w:r>
        <w:rPr>
          <w:rFonts w:hint="eastAsia" w:ascii="仿宋" w:hAnsi="仿宋" w:eastAsia="仿宋" w:cs="仿宋"/>
          <w:b/>
          <w:sz w:val="28"/>
          <w:szCs w:val="28"/>
          <w:highlight w:val="none"/>
        </w:rPr>
        <w:t>（二）高低压维保服务内容及说明</w:t>
      </w:r>
    </w:p>
    <w:p w14:paraId="01A2076C">
      <w:pPr>
        <w:spacing w:line="52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1.变配电房巡检</w:t>
      </w:r>
    </w:p>
    <w:p w14:paraId="4D425E42">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sz w:val="28"/>
          <w:szCs w:val="28"/>
        </w:rPr>
        <w:t>（1）日常例行巡检：每月1次</w:t>
      </w:r>
      <w:r>
        <w:rPr>
          <w:rFonts w:hint="eastAsia" w:ascii="仿宋" w:hAnsi="仿宋" w:eastAsia="仿宋" w:cs="仿宋"/>
          <w:color w:val="auto"/>
          <w:sz w:val="28"/>
          <w:szCs w:val="28"/>
        </w:rPr>
        <w:t>（</w:t>
      </w:r>
      <w:r>
        <w:rPr>
          <w:rFonts w:hint="eastAsia" w:ascii="仿宋" w:hAnsi="仿宋" w:eastAsia="仿宋" w:cs="仿宋"/>
          <w:b w:val="0"/>
          <w:bCs w:val="0"/>
          <w:color w:val="auto"/>
          <w:sz w:val="28"/>
          <w:szCs w:val="28"/>
        </w:rPr>
        <w:t>日常巡查内容详见附件</w:t>
      </w:r>
      <w:r>
        <w:rPr>
          <w:rFonts w:hint="eastAsia" w:ascii="仿宋" w:hAnsi="仿宋" w:eastAsia="仿宋" w:cs="仿宋"/>
          <w:color w:val="auto"/>
          <w:sz w:val="28"/>
          <w:szCs w:val="28"/>
        </w:rPr>
        <w:t>），做好记录；</w:t>
      </w:r>
    </w:p>
    <w:p w14:paraId="09BEE3EA">
      <w:pPr>
        <w:pStyle w:val="16"/>
        <w:jc w:val="both"/>
        <w:rPr>
          <w:rFonts w:hint="eastAsia" w:ascii="仿宋" w:hAnsi="仿宋" w:eastAsia="仿宋" w:cs="仿宋"/>
          <w:sz w:val="28"/>
          <w:szCs w:val="28"/>
        </w:rPr>
      </w:pPr>
      <w:r>
        <w:rPr>
          <w:rFonts w:hint="eastAsia" w:ascii="仿宋" w:hAnsi="仿宋" w:eastAsia="仿宋" w:cs="仿宋"/>
          <w:sz w:val="28"/>
          <w:szCs w:val="28"/>
        </w:rPr>
        <w:t>（2）调度业务联系：运维服务人员根据《电网调度规程》、《调度协议》，与电网调度进行业务联系，根据停（带）电检修计划，向调度提出停电检修申请票、方式调整申请，按照调度术语接受、复诵、执行及回复调度命令，汇报现场情况，回答调度询问，按照调度要求上报数据及报表，配合调度进行联合反事故演习等。</w:t>
      </w:r>
    </w:p>
    <w:p w14:paraId="4E0445EA">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（3）特殊巡检：根据甲方需要双方商定特检期，如台风期、汛期、高温恶劣天气期等；</w:t>
      </w:r>
    </w:p>
    <w:p w14:paraId="2FF48584">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（4）驻场保障：根据甲方需要，于重大活动期间，派遣人员驻场保障供电安全可靠；</w:t>
      </w:r>
    </w:p>
    <w:p w14:paraId="566AA3A0">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（5）停电检查：根据甲方需要双方商定停电检查日期，每年1次对配电房设备全部或部分停电开箱检查除尘。</w:t>
      </w:r>
    </w:p>
    <w:p w14:paraId="54458DC5">
      <w:pPr>
        <w:pStyle w:val="16"/>
        <w:jc w:val="both"/>
        <w:rPr>
          <w:rFonts w:hint="eastAsia" w:ascii="仿宋" w:hAnsi="仿宋" w:eastAsia="仿宋" w:cs="仿宋"/>
          <w:sz w:val="28"/>
          <w:szCs w:val="28"/>
        </w:rPr>
      </w:pPr>
      <w:r>
        <w:rPr>
          <w:rFonts w:hint="eastAsia" w:ascii="仿宋" w:hAnsi="仿宋" w:eastAsia="仿宋" w:cs="仿宋"/>
          <w:sz w:val="28"/>
          <w:szCs w:val="28"/>
        </w:rPr>
        <w:t>（6）倒闸操作：分解调度下达的操作命令，填写变电站倒闸操作票，并在监护下执行高压一次设备倒闸操作，如拉合开关、刀闸，推入拉出小车，封挂、拆除接地线、短路线，转移负荷、合解环操作等。</w:t>
      </w:r>
    </w:p>
    <w:p w14:paraId="70E06537">
      <w:pPr>
        <w:pStyle w:val="16"/>
        <w:jc w:val="both"/>
        <w:rPr>
          <w:rFonts w:hint="eastAsia" w:ascii="仿宋" w:hAnsi="仿宋" w:eastAsia="仿宋" w:cs="仿宋"/>
          <w:sz w:val="28"/>
          <w:szCs w:val="28"/>
        </w:rPr>
      </w:pPr>
      <w:r>
        <w:rPr>
          <w:rFonts w:hint="eastAsia" w:ascii="仿宋" w:hAnsi="仿宋" w:eastAsia="仿宋" w:cs="仿宋"/>
          <w:sz w:val="28"/>
          <w:szCs w:val="28"/>
        </w:rPr>
        <w:t>（7）变电站内所有设备常规检修及定修（包括秋季停电检修）、维护保养、故障及异常处理、缺陷消除，并有详细和符合实际的设备台账、缺陷台账、记录、报告。</w:t>
      </w:r>
    </w:p>
    <w:p w14:paraId="0FC093BA">
      <w:pPr>
        <w:pStyle w:val="16"/>
        <w:jc w:val="both"/>
        <w:rPr>
          <w:rFonts w:hint="eastAsia" w:ascii="仿宋" w:hAnsi="仿宋" w:eastAsia="仿宋" w:cs="仿宋"/>
          <w:sz w:val="28"/>
          <w:szCs w:val="28"/>
        </w:rPr>
      </w:pPr>
      <w:r>
        <w:rPr>
          <w:rFonts w:hint="eastAsia" w:ascii="仿宋" w:hAnsi="仿宋" w:eastAsia="仿宋" w:cs="仿宋"/>
          <w:sz w:val="28"/>
          <w:szCs w:val="28"/>
        </w:rPr>
        <w:t>（8）运维服务单位负责变电站内在度夏前（4月底至5月初）与电力公司调度核对站内数据与调度显示是否一致，如有问题，进行相应处理。</w:t>
      </w:r>
    </w:p>
    <w:p w14:paraId="05B3D64C">
      <w:pPr>
        <w:spacing w:line="520" w:lineRule="exact"/>
        <w:ind w:firstLine="562" w:firstLineChars="200"/>
        <w:rPr>
          <w:rFonts w:hint="eastAsia" w:ascii="仿宋" w:hAnsi="仿宋" w:eastAsia="仿宋" w:cs="仿宋"/>
          <w:sz w:val="28"/>
          <w:szCs w:val="28"/>
        </w:rPr>
      </w:pPr>
      <w:r>
        <w:rPr>
          <w:rFonts w:hint="eastAsia" w:ascii="仿宋" w:hAnsi="仿宋" w:eastAsia="仿宋" w:cs="仿宋"/>
          <w:b/>
          <w:bCs/>
          <w:sz w:val="28"/>
          <w:szCs w:val="28"/>
        </w:rPr>
        <w:t>2.故障抢修。</w:t>
      </w:r>
      <w:r>
        <w:rPr>
          <w:rFonts w:hint="eastAsia" w:ascii="仿宋" w:hAnsi="仿宋" w:eastAsia="仿宋" w:cs="仿宋"/>
          <w:sz w:val="28"/>
          <w:szCs w:val="28"/>
        </w:rPr>
        <w:t>高压配电房、箱变及设备无限次抢修,甲方遇</w:t>
      </w:r>
      <w:r>
        <w:rPr>
          <w:rFonts w:hint="eastAsia" w:ascii="仿宋" w:hAnsi="仿宋" w:eastAsia="仿宋" w:cs="仿宋"/>
          <w:color w:val="auto"/>
          <w:sz w:val="28"/>
          <w:szCs w:val="28"/>
        </w:rPr>
        <w:t>电气设备事故或故障时通知乙方后，乙方在工作时间（8:00-17:00）</w:t>
      </w:r>
      <w:r>
        <w:rPr>
          <w:rFonts w:hint="eastAsia" w:ascii="仿宋" w:hAnsi="仿宋" w:eastAsia="仿宋" w:cs="仿宋"/>
          <w:b w:val="0"/>
          <w:bCs w:val="0"/>
          <w:color w:val="auto"/>
          <w:sz w:val="28"/>
          <w:szCs w:val="28"/>
        </w:rPr>
        <w:t>30分钟内人员需到达现场，非工作时间或遇特殊情况（如堵车、恶劣天气等）1小时内到达现场。</w:t>
      </w:r>
    </w:p>
    <w:p w14:paraId="56F6EE79">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3.变配电设备维护保养。按照维护保养要求及周期对全校所有高压配电房等进行除尘、擦拭和故障检修等维护保养工作。</w:t>
      </w:r>
    </w:p>
    <w:p w14:paraId="3915F02C">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4、当设备发生故障时，运维服务单位应立即通知湖州学院和设备厂家，同时通知电力公司调度通信中心通信调度，并立即采取临时供电措施。</w:t>
      </w:r>
    </w:p>
    <w:p w14:paraId="6B802156">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5.技术培训</w:t>
      </w:r>
    </w:p>
    <w:p w14:paraId="2AE825EA">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（1）由甲方安排合适的时间和地点，乙方负责组织甲方电气操作人员学习国家电网安全操作规程，每周期内一次；</w:t>
      </w:r>
    </w:p>
    <w:p w14:paraId="7D128CE9">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（2）由甲方安排合适的时间，乙方负责组织甲方电气操作人员学习了解高低压设备特性及操作规范，每周期内一次；</w:t>
      </w:r>
    </w:p>
    <w:p w14:paraId="7D270663">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（3）由甲方安排合适的时间，乙方负责组织甲方电气操作人员进行应急演练模拟操作，每周期内一次。</w:t>
      </w:r>
    </w:p>
    <w:p w14:paraId="799FAA24">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（4）事故预想及反事故演习：编制预想事故，每季度组织运维人员进行反事故演习、参与专业培训，并对值班人员不定期考问。反事故演习过程和考问情况均应如实记录。</w:t>
      </w:r>
    </w:p>
    <w:p w14:paraId="61956104">
      <w:pPr>
        <w:spacing w:line="520" w:lineRule="exact"/>
        <w:ind w:firstLine="560" w:firstLineChars="200"/>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6.咨询服务</w:t>
      </w:r>
    </w:p>
    <w:p w14:paraId="59B4F238">
      <w:pPr>
        <w:spacing w:line="520" w:lineRule="exact"/>
        <w:ind w:firstLine="560" w:firstLineChars="200"/>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（1）提供24小时故障或障碍排除咨询服务；</w:t>
      </w:r>
    </w:p>
    <w:p w14:paraId="2CCC1D9D">
      <w:pPr>
        <w:spacing w:line="520" w:lineRule="exact"/>
        <w:ind w:firstLine="560" w:firstLineChars="200"/>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（2）提供拟新增用电负荷前变配电设备增减容负荷测算；</w:t>
      </w:r>
    </w:p>
    <w:p w14:paraId="6F125E40">
      <w:pPr>
        <w:spacing w:line="520" w:lineRule="exact"/>
        <w:ind w:firstLine="560" w:firstLineChars="200"/>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（3）提供低压出线开关配置及出线导线、电缆截面选择测算服务；</w:t>
      </w:r>
    </w:p>
    <w:p w14:paraId="3DC283C0">
      <w:pPr>
        <w:spacing w:line="520" w:lineRule="exact"/>
        <w:ind w:firstLine="560" w:firstLineChars="200"/>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（4）提供甲方电气操作人员安全技术水平评估服务；</w:t>
      </w:r>
    </w:p>
    <w:p w14:paraId="2CE2DB09">
      <w:pPr>
        <w:spacing w:line="520" w:lineRule="exact"/>
        <w:ind w:firstLine="560" w:firstLineChars="200"/>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（5）提供因甲方用电变更供电部门手续代办服务。</w:t>
      </w:r>
    </w:p>
    <w:p w14:paraId="514D09C9">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7.常规通用备品备件配备</w:t>
      </w:r>
    </w:p>
    <w:p w14:paraId="1D435B23">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（1）常用分路出线0.4千伏塑壳开关（630A以内）、低压电容补偿器及自动控制仪、0.4千伏交流接触器、信号指示灯、二次回路熔断器、二次接线端子等；</w:t>
      </w:r>
    </w:p>
    <w:p w14:paraId="3C10A23D">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（2）常用0.4千伏低压电缆；</w:t>
      </w:r>
    </w:p>
    <w:p w14:paraId="7CE98536">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（3）常用应急抢修安全工器具（红外测温枪、接地线、摇表）；</w:t>
      </w:r>
    </w:p>
    <w:p w14:paraId="581B2BAD">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（4）如遇学校设备或柜体损坏，乙方需解决学校临时用电的临时措施。</w:t>
      </w:r>
    </w:p>
    <w:p w14:paraId="21CB7D1C">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.其他</w:t>
      </w:r>
    </w:p>
    <w:p w14:paraId="1C93B67D">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（1）维保期间交通工具、检测设备、试验设备、安全工器具、电动工具等全部工具投入由乙方自备；</w:t>
      </w:r>
    </w:p>
    <w:p w14:paraId="46952639">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（2）协助甲方做好学校范围内室外厢变的巡查和检修工作；</w:t>
      </w:r>
    </w:p>
    <w:p w14:paraId="16EA325A">
      <w:pPr>
        <w:spacing w:line="52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rPr>
        <w:t>（3）高压配电房、箱变等设施发生硬件等其他原因引起的故障，保养单位提供维修更换服务，更换配件产品单件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指独立的最小可更换单元）</w:t>
      </w:r>
      <w:r>
        <w:rPr>
          <w:rFonts w:hint="eastAsia" w:ascii="仿宋" w:hAnsi="仿宋" w:eastAsia="仿宋" w:cs="仿宋"/>
          <w:b w:val="0"/>
          <w:bCs w:val="0"/>
          <w:color w:val="auto"/>
          <w:sz w:val="28"/>
          <w:szCs w:val="28"/>
        </w:rPr>
        <w:t>1000元以内</w:t>
      </w:r>
      <w:r>
        <w:rPr>
          <w:rFonts w:hint="eastAsia" w:ascii="仿宋" w:hAnsi="仿宋" w:eastAsia="仿宋" w:cs="仿宋"/>
          <w:color w:val="auto"/>
          <w:sz w:val="28"/>
          <w:szCs w:val="28"/>
        </w:rPr>
        <w:t>的由维保单位免费更换，</w:t>
      </w:r>
      <w:r>
        <w:rPr>
          <w:rFonts w:hint="eastAsia" w:ascii="仿宋" w:hAnsi="仿宋" w:eastAsia="仿宋" w:cs="仿宋"/>
          <w:b w:val="0"/>
          <w:bCs w:val="0"/>
          <w:color w:val="auto"/>
          <w:sz w:val="28"/>
          <w:szCs w:val="28"/>
        </w:rPr>
        <w:t>单件1000元以上</w:t>
      </w:r>
      <w:r>
        <w:rPr>
          <w:rFonts w:hint="eastAsia" w:ascii="仿宋" w:hAnsi="仿宋" w:eastAsia="仿宋" w:cs="仿宋"/>
          <w:color w:val="auto"/>
          <w:sz w:val="28"/>
          <w:szCs w:val="28"/>
        </w:rPr>
        <w:t>的更</w:t>
      </w:r>
      <w:r>
        <w:rPr>
          <w:rFonts w:hint="eastAsia" w:ascii="仿宋" w:hAnsi="仿宋" w:eastAsia="仿宋" w:cs="仿宋"/>
          <w:sz w:val="28"/>
          <w:szCs w:val="28"/>
        </w:rPr>
        <w:t>换维修费用双方另行协商，人工费免除</w:t>
      </w:r>
      <w:r>
        <w:rPr>
          <w:rFonts w:hint="eastAsia" w:ascii="仿宋" w:hAnsi="仿宋" w:eastAsia="仿宋" w:cs="仿宋"/>
          <w:sz w:val="28"/>
          <w:szCs w:val="28"/>
          <w:highlight w:val="none"/>
        </w:rPr>
        <w:t>，仅</w:t>
      </w:r>
      <w:r>
        <w:rPr>
          <w:rFonts w:hint="eastAsia" w:ascii="仿宋" w:hAnsi="仿宋" w:eastAsia="仿宋" w:cs="仿宋"/>
          <w:sz w:val="28"/>
          <w:szCs w:val="28"/>
          <w:highlight w:val="none"/>
          <w:lang w:val="en-US" w:eastAsia="zh-CN"/>
        </w:rPr>
        <w:t>按市场价</w:t>
      </w:r>
      <w:r>
        <w:rPr>
          <w:rFonts w:hint="eastAsia" w:ascii="仿宋" w:hAnsi="仿宋" w:eastAsia="仿宋" w:cs="仿宋"/>
          <w:sz w:val="28"/>
          <w:szCs w:val="28"/>
          <w:highlight w:val="none"/>
        </w:rPr>
        <w:t>收取更换材料费；</w:t>
      </w:r>
    </w:p>
    <w:p w14:paraId="1D497E3A">
      <w:pPr>
        <w:spacing w:line="52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（4）协助处理与电力局有关的一切手续的办理与咨询，如减容、增容等手续；</w:t>
      </w:r>
    </w:p>
    <w:p w14:paraId="28B34258">
      <w:pPr>
        <w:spacing w:line="52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（5）对由于乙方日常巡检、维护保养和故障检修不到位或检查发现的问题没有及时处置与告知甲方等原因造成的安全责任事故，按</w:t>
      </w:r>
      <w:r>
        <w:rPr>
          <w:rFonts w:hint="eastAsia" w:ascii="仿宋" w:hAnsi="仿宋" w:eastAsia="仿宋" w:cs="仿宋"/>
          <w:sz w:val="28"/>
          <w:szCs w:val="28"/>
          <w:highlight w:val="none"/>
          <w:lang w:val="en-US" w:eastAsia="zh-CN"/>
        </w:rPr>
        <w:t>总体要求中的相关办法及评分标准（详见附件1)</w:t>
      </w:r>
      <w:r>
        <w:rPr>
          <w:rFonts w:hint="eastAsia" w:ascii="仿宋" w:hAnsi="仿宋" w:eastAsia="仿宋" w:cs="仿宋"/>
          <w:sz w:val="28"/>
          <w:szCs w:val="28"/>
          <w:highlight w:val="none"/>
        </w:rPr>
        <w:t>处理</w:t>
      </w:r>
      <w:r>
        <w:rPr>
          <w:rFonts w:hint="eastAsia" w:ascii="仿宋" w:hAnsi="仿宋" w:eastAsia="仿宋" w:cs="仿宋"/>
          <w:sz w:val="28"/>
          <w:szCs w:val="28"/>
          <w:highlight w:val="none"/>
          <w:lang w:val="en-US" w:eastAsia="zh-CN"/>
        </w:rPr>
        <w:t>,90分以下视为不合格</w:t>
      </w:r>
      <w:r>
        <w:rPr>
          <w:rFonts w:hint="eastAsia" w:ascii="仿宋" w:hAnsi="仿宋" w:eastAsia="仿宋" w:cs="仿宋"/>
          <w:sz w:val="28"/>
          <w:szCs w:val="28"/>
          <w:highlight w:val="none"/>
        </w:rPr>
        <w:t>。</w:t>
      </w:r>
    </w:p>
    <w:p w14:paraId="1A5D2B95">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highlight w:val="none"/>
        </w:rPr>
        <w:t>（6）建立和保管变电站相关技术资料和原始记录台帐，经常修正，</w:t>
      </w:r>
      <w:r>
        <w:rPr>
          <w:rFonts w:hint="eastAsia" w:ascii="仿宋" w:hAnsi="仿宋" w:eastAsia="仿宋" w:cs="仿宋"/>
          <w:sz w:val="28"/>
          <w:szCs w:val="28"/>
        </w:rPr>
        <w:t>保持资料的完整、正确性。</w:t>
      </w:r>
    </w:p>
    <w:p w14:paraId="7B0BC74F">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三</w:t>
      </w:r>
      <w:r>
        <w:rPr>
          <w:rFonts w:hint="eastAsia" w:ascii="仿宋" w:hAnsi="仿宋" w:eastAsia="仿宋" w:cs="仿宋"/>
          <w:sz w:val="28"/>
          <w:szCs w:val="28"/>
          <w:lang w:eastAsia="zh-CN"/>
        </w:rPr>
        <w:t>）</w:t>
      </w:r>
      <w:r>
        <w:rPr>
          <w:rFonts w:hint="eastAsia" w:ascii="仿宋" w:hAnsi="仿宋" w:eastAsia="仿宋" w:cs="仿宋"/>
          <w:sz w:val="28"/>
          <w:szCs w:val="28"/>
        </w:rPr>
        <w:t>档案管理要求</w:t>
      </w:r>
    </w:p>
    <w:p w14:paraId="5301DFD6">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要求对全校所有高压配电房及高压柜体设备、箱变等进行巡查、保养、检测等全部维保工作做好记录和登记，做到一区一档、一类一档；每个服务周期结束，乙方需将完整的维保档案移交甲方，并作为该项目完成验收的条件之一。</w:t>
      </w:r>
    </w:p>
    <w:p w14:paraId="1A102E95">
      <w:pPr>
        <w:spacing w:line="520" w:lineRule="exact"/>
        <w:ind w:firstLine="562" w:firstLineChars="200"/>
        <w:rPr>
          <w:rFonts w:hint="default"/>
          <w:lang w:val="en-US" w:eastAsia="zh-CN"/>
        </w:rPr>
      </w:pPr>
      <w:r>
        <w:rPr>
          <w:rFonts w:hint="eastAsia" w:ascii="仿宋" w:hAnsi="仿宋" w:eastAsia="仿宋" w:cs="仿宋"/>
          <w:b/>
          <w:bCs/>
          <w:sz w:val="28"/>
          <w:szCs w:val="28"/>
          <w:lang w:val="en-US" w:eastAsia="zh-CN"/>
        </w:rPr>
        <w:t>三、商务需求</w:t>
      </w:r>
    </w:p>
    <w:p w14:paraId="15F999BB">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服务期限：</w:t>
      </w:r>
      <w:r>
        <w:rPr>
          <w:rFonts w:hint="eastAsia" w:ascii="仿宋" w:hAnsi="仿宋" w:eastAsia="仿宋" w:cs="仿宋"/>
          <w:sz w:val="28"/>
          <w:szCs w:val="28"/>
          <w:lang w:val="en-US" w:eastAsia="zh-CN"/>
        </w:rPr>
        <w:t>自合同签订之日起</w:t>
      </w:r>
      <w:r>
        <w:rPr>
          <w:rFonts w:hint="eastAsia" w:ascii="仿宋" w:hAnsi="仿宋" w:eastAsia="仿宋" w:cs="仿宋"/>
          <w:sz w:val="28"/>
          <w:szCs w:val="28"/>
        </w:rPr>
        <w:t>-2027年6月30日</w:t>
      </w:r>
    </w:p>
    <w:p w14:paraId="4F5F1EAC">
      <w:pPr>
        <w:spacing w:line="52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rPr>
        <w:t>付款方</w:t>
      </w:r>
      <w:r>
        <w:rPr>
          <w:rFonts w:hint="eastAsia" w:ascii="仿宋" w:hAnsi="仿宋" w:eastAsia="仿宋" w:cs="仿宋"/>
          <w:sz w:val="28"/>
          <w:szCs w:val="28"/>
          <w:highlight w:val="none"/>
        </w:rPr>
        <w:t>式：</w:t>
      </w:r>
      <w:r>
        <w:rPr>
          <w:rFonts w:hint="eastAsia" w:ascii="仿宋" w:hAnsi="仿宋" w:eastAsia="仿宋" w:cs="仿宋"/>
          <w:sz w:val="28"/>
          <w:szCs w:val="28"/>
          <w:highlight w:val="none"/>
          <w:lang w:val="en-US" w:eastAsia="zh-CN"/>
        </w:rPr>
        <w:t>项目完成并经采购人验收合格后支付合同金额的100%。</w:t>
      </w:r>
    </w:p>
    <w:p w14:paraId="736D01F7">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.本项目不收取投标保证金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履约保证金</w:t>
      </w:r>
      <w:r>
        <w:rPr>
          <w:rFonts w:hint="eastAsia" w:ascii="仿宋" w:hAnsi="仿宋" w:eastAsia="仿宋" w:cs="仿宋"/>
          <w:sz w:val="28"/>
          <w:szCs w:val="28"/>
          <w:highlight w:val="none"/>
          <w:lang w:val="en-US" w:eastAsia="zh-CN"/>
        </w:rPr>
        <w:t>为</w:t>
      </w:r>
      <w:r>
        <w:rPr>
          <w:rFonts w:hint="eastAsia" w:ascii="仿宋" w:hAnsi="仿宋" w:eastAsia="仿宋" w:cs="仿宋"/>
          <w:sz w:val="28"/>
          <w:szCs w:val="28"/>
          <w:highlight w:val="none"/>
        </w:rPr>
        <w:t>合同价的1%，履</w:t>
      </w:r>
      <w:r>
        <w:rPr>
          <w:rFonts w:hint="eastAsia" w:ascii="仿宋" w:hAnsi="仿宋" w:eastAsia="仿宋" w:cs="仿宋"/>
          <w:sz w:val="28"/>
          <w:szCs w:val="28"/>
        </w:rPr>
        <w:t>约保证金形式为：银行转账或银行、保险公司出具的保函</w:t>
      </w:r>
      <w:r>
        <w:rPr>
          <w:rFonts w:hint="eastAsia" w:ascii="仿宋" w:hAnsi="仿宋" w:eastAsia="仿宋" w:cs="仿宋"/>
          <w:sz w:val="28"/>
          <w:szCs w:val="28"/>
          <w:lang w:val="en-US" w:eastAsia="zh-CN"/>
        </w:rPr>
        <w:t>等非现金形式</w:t>
      </w:r>
      <w:r>
        <w:rPr>
          <w:rFonts w:hint="eastAsia" w:ascii="仿宋" w:hAnsi="仿宋" w:eastAsia="仿宋" w:cs="仿宋"/>
          <w:sz w:val="28"/>
          <w:szCs w:val="28"/>
        </w:rPr>
        <w:t>；合同期限结束后由采购人无息退还。</w:t>
      </w:r>
    </w:p>
    <w:p w14:paraId="233AAD61">
      <w:pPr>
        <w:rPr>
          <w:rFonts w:hint="eastAsia" w:ascii="仿宋" w:hAnsi="仿宋" w:eastAsia="仿宋" w:cs="仿宋"/>
          <w:highlight w:val="none"/>
        </w:rPr>
      </w:pPr>
    </w:p>
    <w:p w14:paraId="0D47209C">
      <w:pPr>
        <w:rPr>
          <w:rFonts w:hint="eastAsia" w:ascii="仿宋" w:hAnsi="仿宋" w:eastAsia="仿宋" w:cs="仿宋"/>
          <w:b/>
          <w:sz w:val="28"/>
          <w:szCs w:val="28"/>
          <w:highlight w:val="none"/>
        </w:rPr>
      </w:pPr>
      <w:r>
        <w:rPr>
          <w:rFonts w:hint="eastAsia" w:ascii="仿宋" w:hAnsi="仿宋" w:eastAsia="仿宋" w:cs="仿宋"/>
          <w:b/>
          <w:sz w:val="28"/>
          <w:szCs w:val="28"/>
          <w:highlight w:val="none"/>
        </w:rPr>
        <w:br w:type="page"/>
      </w:r>
    </w:p>
    <w:p w14:paraId="1E17D8EE">
      <w:pPr>
        <w:pStyle w:val="20"/>
        <w:rPr>
          <w:rFonts w:hint="eastAsia" w:ascii="仿宋" w:hAnsi="仿宋" w:eastAsia="仿宋" w:cs="仿宋"/>
          <w:highlight w:val="none"/>
          <w:lang w:val="en-US" w:eastAsia="zh-CN"/>
        </w:rPr>
      </w:pPr>
      <w:r>
        <w:rPr>
          <w:rFonts w:hint="eastAsia" w:ascii="仿宋" w:hAnsi="仿宋" w:eastAsia="仿宋" w:cs="仿宋"/>
          <w:highlight w:val="none"/>
          <w:lang w:val="en-US" w:eastAsia="zh-CN"/>
        </w:rPr>
        <w:t>第三章 评标办法及评分标准</w:t>
      </w:r>
    </w:p>
    <w:p w14:paraId="26011220">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为公正、公平、科学地选择中标人，根据《中华人民共和国政府采购法》等有关法律法规的规定，并结合本项目的实际，制定本办法。</w:t>
      </w:r>
    </w:p>
    <w:p w14:paraId="1014666D">
      <w:pPr>
        <w:spacing w:line="360" w:lineRule="auto"/>
        <w:jc w:val="left"/>
        <w:rPr>
          <w:rFonts w:ascii="仿宋" w:hAnsi="仿宋" w:eastAsia="仿宋" w:cs="仿宋"/>
          <w:b/>
          <w:bCs/>
          <w:color w:val="000000"/>
          <w:kern w:val="0"/>
          <w:sz w:val="28"/>
          <w:szCs w:val="28"/>
          <w:highlight w:val="none"/>
          <w:shd w:val="clear" w:color="auto" w:fill="FFFFFF"/>
          <w:lang w:bidi="ar"/>
        </w:rPr>
      </w:pPr>
      <w:r>
        <w:rPr>
          <w:rFonts w:hint="eastAsia" w:ascii="仿宋" w:hAnsi="仿宋" w:eastAsia="仿宋" w:cs="仿宋"/>
          <w:b/>
          <w:bCs/>
          <w:color w:val="000000"/>
          <w:kern w:val="0"/>
          <w:sz w:val="28"/>
          <w:szCs w:val="28"/>
          <w:highlight w:val="none"/>
          <w:shd w:val="clear" w:color="auto" w:fill="FFFFFF"/>
          <w:lang w:bidi="ar"/>
        </w:rPr>
        <w:t>一、总则</w:t>
      </w:r>
    </w:p>
    <w:p w14:paraId="38450722">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本次评标采用综合评分法，总分为100分，其中价格分30分、技术商务资信及其他部分70分，合格投标人的评审得分为各项目汇总得分。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19419B8B">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投标人评标综合得分=价格分+技术、商务、资信及其他分</w:t>
      </w:r>
    </w:p>
    <w:p w14:paraId="31A79D2F">
      <w:pPr>
        <w:spacing w:line="360" w:lineRule="auto"/>
        <w:jc w:val="left"/>
        <w:rPr>
          <w:rFonts w:ascii="仿宋" w:hAnsi="仿宋" w:eastAsia="仿宋" w:cs="仿宋"/>
          <w:b/>
          <w:bCs/>
          <w:color w:val="000000"/>
          <w:kern w:val="0"/>
          <w:sz w:val="28"/>
          <w:szCs w:val="28"/>
          <w:highlight w:val="none"/>
          <w:shd w:val="clear" w:color="auto" w:fill="FFFFFF"/>
          <w:lang w:bidi="ar"/>
        </w:rPr>
      </w:pPr>
      <w:r>
        <w:rPr>
          <w:rFonts w:hint="eastAsia" w:ascii="仿宋" w:hAnsi="仿宋" w:eastAsia="仿宋" w:cs="仿宋"/>
          <w:b/>
          <w:bCs/>
          <w:color w:val="000000"/>
          <w:kern w:val="0"/>
          <w:sz w:val="28"/>
          <w:szCs w:val="28"/>
          <w:highlight w:val="none"/>
          <w:shd w:val="clear" w:color="auto" w:fill="FFFFFF"/>
          <w:lang w:bidi="ar"/>
        </w:rPr>
        <w:t>二、评标内容及标准</w:t>
      </w:r>
    </w:p>
    <w:p w14:paraId="58976EA8">
      <w:pPr>
        <w:spacing w:line="360" w:lineRule="auto"/>
        <w:ind w:firstLine="482" w:firstLineChars="200"/>
        <w:jc w:val="left"/>
        <w:rPr>
          <w:rFonts w:ascii="仿宋" w:hAnsi="仿宋" w:eastAsia="仿宋" w:cs="仿宋"/>
          <w:b/>
          <w:bCs/>
          <w:color w:val="000000"/>
          <w:kern w:val="0"/>
          <w:sz w:val="24"/>
          <w:highlight w:val="none"/>
          <w:shd w:val="clear" w:color="auto" w:fill="FFFFFF"/>
          <w:lang w:bidi="ar"/>
        </w:rPr>
      </w:pPr>
      <w:r>
        <w:rPr>
          <w:rFonts w:hint="eastAsia" w:ascii="仿宋" w:hAnsi="仿宋" w:eastAsia="仿宋" w:cs="仿宋"/>
          <w:b/>
          <w:bCs/>
          <w:color w:val="000000"/>
          <w:kern w:val="0"/>
          <w:sz w:val="24"/>
          <w:highlight w:val="none"/>
          <w:shd w:val="clear" w:color="auto" w:fill="FFFFFF"/>
          <w:lang w:bidi="ar"/>
        </w:rPr>
        <w:t>1</w:t>
      </w:r>
      <w:r>
        <w:rPr>
          <w:rFonts w:hint="eastAsia" w:ascii="仿宋" w:hAnsi="仿宋" w:eastAsia="仿宋" w:cs="仿宋"/>
          <w:b/>
          <w:bCs/>
          <w:color w:val="000000"/>
          <w:kern w:val="0"/>
          <w:sz w:val="24"/>
          <w:highlight w:val="none"/>
          <w:shd w:val="clear" w:color="auto" w:fill="FFFFFF"/>
          <w:lang w:eastAsia="zh-CN" w:bidi="ar"/>
        </w:rPr>
        <w:t>.</w:t>
      </w:r>
      <w:r>
        <w:rPr>
          <w:rFonts w:hint="eastAsia" w:ascii="仿宋" w:hAnsi="仿宋" w:eastAsia="仿宋" w:cs="仿宋"/>
          <w:b/>
          <w:bCs/>
          <w:color w:val="000000"/>
          <w:kern w:val="0"/>
          <w:sz w:val="24"/>
          <w:highlight w:val="none"/>
          <w:shd w:val="clear" w:color="auto" w:fill="FFFFFF"/>
          <w:lang w:bidi="ar"/>
        </w:rPr>
        <w:t>价格分（30分）</w:t>
      </w:r>
    </w:p>
    <w:p w14:paraId="288A11FB">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价格分采用低价优先法计算，取所有有效投标人中投标价格最低的投标报价为评标基准价，其他投标人的价格分按照下列公式计算：</w:t>
      </w:r>
    </w:p>
    <w:p w14:paraId="0C491F5E">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价格分=（评标基准价/投标报价）×30</w:t>
      </w:r>
    </w:p>
    <w:p w14:paraId="2C33EE5A">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4F2FEBB4">
      <w:pPr>
        <w:spacing w:line="360" w:lineRule="auto"/>
        <w:ind w:firstLine="482" w:firstLineChars="200"/>
        <w:jc w:val="left"/>
        <w:rPr>
          <w:rFonts w:ascii="仿宋" w:hAnsi="仿宋" w:eastAsia="仿宋" w:cs="仿宋"/>
          <w:b/>
          <w:bCs/>
          <w:color w:val="000000"/>
          <w:kern w:val="0"/>
          <w:sz w:val="24"/>
          <w:highlight w:val="none"/>
          <w:shd w:val="clear" w:color="auto" w:fill="FFFFFF"/>
          <w:lang w:bidi="ar"/>
        </w:rPr>
      </w:pPr>
      <w:r>
        <w:rPr>
          <w:rFonts w:hint="eastAsia" w:ascii="仿宋" w:hAnsi="仿宋" w:eastAsia="仿宋" w:cs="仿宋"/>
          <w:b/>
          <w:bCs/>
          <w:color w:val="000000"/>
          <w:kern w:val="0"/>
          <w:sz w:val="24"/>
          <w:highlight w:val="none"/>
          <w:shd w:val="clear" w:color="auto" w:fill="FFFFFF"/>
          <w:lang w:bidi="ar"/>
        </w:rPr>
        <w:t>2</w:t>
      </w:r>
      <w:r>
        <w:rPr>
          <w:rFonts w:hint="eastAsia" w:ascii="仿宋" w:hAnsi="仿宋" w:eastAsia="仿宋" w:cs="仿宋"/>
          <w:b/>
          <w:bCs/>
          <w:color w:val="000000"/>
          <w:kern w:val="0"/>
          <w:sz w:val="24"/>
          <w:highlight w:val="none"/>
          <w:shd w:val="clear" w:color="auto" w:fill="FFFFFF"/>
          <w:lang w:eastAsia="zh-CN" w:bidi="ar"/>
        </w:rPr>
        <w:t>.</w:t>
      </w:r>
      <w:r>
        <w:rPr>
          <w:rFonts w:hint="eastAsia" w:ascii="仿宋" w:hAnsi="仿宋" w:eastAsia="仿宋" w:cs="仿宋"/>
          <w:b/>
          <w:bCs/>
          <w:color w:val="000000"/>
          <w:kern w:val="0"/>
          <w:sz w:val="24"/>
          <w:highlight w:val="none"/>
          <w:shd w:val="clear" w:color="auto" w:fill="FFFFFF"/>
          <w:lang w:bidi="ar"/>
        </w:rPr>
        <w:t>技术、商务、资信及其他分（70分）</w:t>
      </w:r>
    </w:p>
    <w:p w14:paraId="542F2E0B">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技术、商务、资信及其他分按照评标委员会成员的独立评分结果汇总数的算术平均分计算，计算公式为:</w:t>
      </w:r>
    </w:p>
    <w:p w14:paraId="672D501E">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技术、商务、资信及其他分=评标委员会所有成员评分合计数/评标委员会组成人员数</w:t>
      </w:r>
    </w:p>
    <w:tbl>
      <w:tblPr>
        <w:tblStyle w:val="18"/>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1327"/>
        <w:gridCol w:w="6090"/>
        <w:gridCol w:w="1086"/>
      </w:tblGrid>
      <w:tr w14:paraId="458C7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555" w:type="dxa"/>
            <w:noWrap w:val="0"/>
            <w:vAlign w:val="center"/>
          </w:tcPr>
          <w:p w14:paraId="74DD966F">
            <w:pPr>
              <w:keepNext w:val="0"/>
              <w:keepLines w:val="0"/>
              <w:pageBreakBefore w:val="0"/>
              <w:suppressLineNumbers w:val="0"/>
              <w:kinsoku/>
              <w:wordWrap/>
              <w:overflowPunct/>
              <w:topLinePunct w:val="0"/>
              <w:bidi w:val="0"/>
              <w:spacing w:before="0" w:beforeAutospacing="0" w:after="0" w:afterAutospacing="0" w:line="440" w:lineRule="exact"/>
              <w:ind w:left="0" w:right="0"/>
              <w:jc w:val="center"/>
              <w:rPr>
                <w:rFonts w:hint="default" w:ascii="Times New Roman" w:hAnsi="Times New Roman" w:eastAsia="仿宋" w:cs="Times New Roman"/>
                <w:color w:val="auto"/>
                <w:sz w:val="24"/>
                <w:vertAlign w:val="baseline"/>
                <w:lang w:val="en-US" w:eastAsia="zh-CN"/>
              </w:rPr>
            </w:pPr>
            <w:r>
              <w:rPr>
                <w:rFonts w:hint="eastAsia" w:ascii="Times New Roman" w:hAnsi="Times New Roman" w:eastAsia="仿宋" w:cs="Times New Roman"/>
                <w:b/>
                <w:bCs/>
                <w:color w:val="auto"/>
                <w:sz w:val="24"/>
                <w:szCs w:val="24"/>
                <w:lang w:val="en-US" w:eastAsia="zh-CN"/>
              </w:rPr>
              <w:t>序号</w:t>
            </w:r>
          </w:p>
        </w:tc>
        <w:tc>
          <w:tcPr>
            <w:tcW w:w="1327" w:type="dxa"/>
            <w:noWrap w:val="0"/>
            <w:vAlign w:val="center"/>
          </w:tcPr>
          <w:p w14:paraId="42FB4472">
            <w:pPr>
              <w:keepNext w:val="0"/>
              <w:keepLines w:val="0"/>
              <w:pageBreakBefore w:val="0"/>
              <w:suppressLineNumbers w:val="0"/>
              <w:kinsoku/>
              <w:wordWrap/>
              <w:overflowPunct/>
              <w:topLinePunct w:val="0"/>
              <w:bidi w:val="0"/>
              <w:spacing w:before="0" w:beforeAutospacing="0" w:after="0" w:afterAutospacing="0" w:line="440" w:lineRule="exact"/>
              <w:ind w:left="0" w:right="0"/>
              <w:jc w:val="center"/>
              <w:rPr>
                <w:rFonts w:hint="eastAsia" w:ascii="Times New Roman" w:hAnsi="Times New Roman" w:eastAsia="仿宋" w:cs="Times New Roman"/>
                <w:color w:val="auto"/>
                <w:sz w:val="24"/>
                <w:vertAlign w:val="baseline"/>
                <w:lang w:val="en-US" w:eastAsia="zh-CN"/>
              </w:rPr>
            </w:pPr>
            <w:r>
              <w:rPr>
                <w:rFonts w:hint="default" w:ascii="Times New Roman" w:hAnsi="Times New Roman" w:eastAsia="仿宋" w:cs="Times New Roman"/>
                <w:b/>
                <w:bCs/>
                <w:color w:val="auto"/>
                <w:sz w:val="24"/>
                <w:szCs w:val="24"/>
              </w:rPr>
              <w:t>评分</w:t>
            </w:r>
            <w:r>
              <w:rPr>
                <w:rFonts w:hint="eastAsia" w:ascii="Times New Roman" w:hAnsi="Times New Roman" w:eastAsia="仿宋" w:cs="Times New Roman"/>
                <w:b/>
                <w:bCs/>
                <w:color w:val="auto"/>
                <w:sz w:val="24"/>
                <w:szCs w:val="24"/>
                <w:lang w:val="en-US" w:eastAsia="zh-CN"/>
              </w:rPr>
              <w:t>项</w:t>
            </w:r>
          </w:p>
        </w:tc>
        <w:tc>
          <w:tcPr>
            <w:tcW w:w="6090" w:type="dxa"/>
            <w:noWrap w:val="0"/>
            <w:vAlign w:val="center"/>
          </w:tcPr>
          <w:p w14:paraId="1EF19D17">
            <w:pPr>
              <w:keepNext w:val="0"/>
              <w:keepLines w:val="0"/>
              <w:pageBreakBefore w:val="0"/>
              <w:suppressLineNumbers w:val="0"/>
              <w:kinsoku/>
              <w:wordWrap/>
              <w:overflowPunct/>
              <w:topLinePunct w:val="0"/>
              <w:bidi w:val="0"/>
              <w:spacing w:before="0" w:beforeAutospacing="0" w:after="0" w:afterAutospacing="0" w:line="440" w:lineRule="exact"/>
              <w:ind w:left="0" w:right="0"/>
              <w:jc w:val="center"/>
              <w:rPr>
                <w:rFonts w:hint="eastAsia" w:ascii="Times New Roman" w:hAnsi="Times New Roman" w:eastAsia="仿宋" w:cs="Times New Roman"/>
                <w:color w:val="auto"/>
                <w:sz w:val="24"/>
                <w:vertAlign w:val="baseline"/>
                <w:lang w:val="en-US" w:eastAsia="zh-CN"/>
              </w:rPr>
            </w:pPr>
            <w:r>
              <w:rPr>
                <w:rFonts w:hint="default" w:ascii="Times New Roman" w:hAnsi="Times New Roman" w:eastAsia="仿宋" w:cs="Times New Roman"/>
                <w:b/>
                <w:bCs/>
                <w:color w:val="auto"/>
                <w:sz w:val="24"/>
                <w:szCs w:val="24"/>
              </w:rPr>
              <w:t>评分</w:t>
            </w:r>
            <w:r>
              <w:rPr>
                <w:rFonts w:hint="eastAsia" w:ascii="Times New Roman" w:hAnsi="Times New Roman" w:eastAsia="仿宋" w:cs="Times New Roman"/>
                <w:b/>
                <w:bCs/>
                <w:color w:val="auto"/>
                <w:sz w:val="24"/>
                <w:szCs w:val="24"/>
                <w:lang w:val="en-US" w:eastAsia="zh-CN"/>
              </w:rPr>
              <w:t>细则</w:t>
            </w:r>
          </w:p>
        </w:tc>
        <w:tc>
          <w:tcPr>
            <w:tcW w:w="1086" w:type="dxa"/>
            <w:noWrap w:val="0"/>
            <w:vAlign w:val="center"/>
          </w:tcPr>
          <w:p w14:paraId="43F1F048">
            <w:pPr>
              <w:keepNext w:val="0"/>
              <w:keepLines w:val="0"/>
              <w:pageBreakBefore w:val="0"/>
              <w:suppressLineNumbers w:val="0"/>
              <w:kinsoku/>
              <w:wordWrap/>
              <w:overflowPunct/>
              <w:topLinePunct w:val="0"/>
              <w:bidi w:val="0"/>
              <w:spacing w:before="0" w:beforeAutospacing="0" w:after="0" w:afterAutospacing="0" w:line="440" w:lineRule="exact"/>
              <w:ind w:left="0" w:right="0"/>
              <w:jc w:val="center"/>
              <w:rPr>
                <w:rFonts w:hint="eastAsia" w:ascii="Times New Roman" w:hAnsi="Times New Roman" w:eastAsia="仿宋" w:cs="Times New Roman"/>
                <w:b/>
                <w:bCs/>
                <w:color w:val="auto"/>
                <w:sz w:val="24"/>
                <w:szCs w:val="24"/>
                <w:lang w:val="en-US" w:eastAsia="zh-CN"/>
              </w:rPr>
            </w:pPr>
            <w:r>
              <w:rPr>
                <w:rFonts w:hint="eastAsia" w:ascii="Times New Roman" w:hAnsi="Times New Roman" w:eastAsia="仿宋" w:cs="Times New Roman"/>
                <w:b/>
                <w:bCs/>
                <w:color w:val="auto"/>
                <w:sz w:val="24"/>
                <w:szCs w:val="24"/>
                <w:lang w:val="en-US" w:eastAsia="zh-CN"/>
              </w:rPr>
              <w:t>分值（70分）</w:t>
            </w:r>
          </w:p>
        </w:tc>
      </w:tr>
      <w:tr w14:paraId="0342C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9058" w:type="dxa"/>
            <w:gridSpan w:val="4"/>
            <w:noWrap w:val="0"/>
            <w:vAlign w:val="center"/>
          </w:tcPr>
          <w:p w14:paraId="645FC5D2">
            <w:pPr>
              <w:keepNext w:val="0"/>
              <w:keepLines w:val="0"/>
              <w:pageBreakBefore w:val="0"/>
              <w:suppressLineNumbers w:val="0"/>
              <w:kinsoku/>
              <w:wordWrap/>
              <w:overflowPunct/>
              <w:topLinePunct w:val="0"/>
              <w:bidi w:val="0"/>
              <w:spacing w:before="0" w:beforeAutospacing="0" w:after="0" w:afterAutospacing="0" w:line="440" w:lineRule="exact"/>
              <w:ind w:left="0" w:right="0"/>
              <w:jc w:val="center"/>
              <w:rPr>
                <w:rFonts w:hint="eastAsia" w:ascii="Times New Roman" w:hAnsi="Times New Roman" w:eastAsia="仿宋" w:cs="Times New Roman"/>
                <w:b/>
                <w:bCs/>
                <w:color w:val="auto"/>
                <w:sz w:val="24"/>
                <w:szCs w:val="24"/>
                <w:lang w:val="en-US" w:eastAsia="zh-CN"/>
              </w:rPr>
            </w:pPr>
            <w:r>
              <w:rPr>
                <w:rFonts w:hint="default" w:ascii="Times New Roman" w:hAnsi="Times New Roman" w:eastAsia="仿宋" w:cs="Times New Roman"/>
                <w:color w:val="auto"/>
                <w:sz w:val="24"/>
                <w:szCs w:val="24"/>
                <w:lang w:eastAsia="zh-CN"/>
              </w:rPr>
              <w:t>技术分（</w:t>
            </w:r>
            <w:r>
              <w:rPr>
                <w:rFonts w:hint="default" w:ascii="Times New Roman" w:hAnsi="Times New Roman" w:eastAsia="仿宋" w:cs="Times New Roman"/>
                <w:color w:val="auto"/>
                <w:sz w:val="24"/>
                <w:szCs w:val="24"/>
                <w:lang w:val="en-US" w:eastAsia="zh-CN"/>
              </w:rPr>
              <w:t>52分</w:t>
            </w:r>
            <w:r>
              <w:rPr>
                <w:rFonts w:hint="default" w:ascii="Times New Roman" w:hAnsi="Times New Roman" w:eastAsia="仿宋" w:cs="Times New Roman"/>
                <w:color w:val="auto"/>
                <w:sz w:val="24"/>
                <w:szCs w:val="24"/>
                <w:lang w:eastAsia="zh-CN"/>
              </w:rPr>
              <w:t>）</w:t>
            </w:r>
          </w:p>
        </w:tc>
      </w:tr>
      <w:tr w14:paraId="2BAE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555" w:type="dxa"/>
            <w:noWrap w:val="0"/>
            <w:vAlign w:val="center"/>
          </w:tcPr>
          <w:p w14:paraId="5F3379E1">
            <w:pPr>
              <w:pStyle w:val="39"/>
              <w:keepNext w:val="0"/>
              <w:keepLines w:val="0"/>
              <w:pageBreakBefore w:val="0"/>
              <w:suppressLineNumbers w:val="0"/>
              <w:kinsoku/>
              <w:wordWrap/>
              <w:overflowPunct/>
              <w:topLinePunct w:val="0"/>
              <w:bidi w:val="0"/>
              <w:spacing w:before="0" w:beforeAutospacing="0" w:after="0" w:afterAutospacing="0" w:line="440" w:lineRule="exact"/>
              <w:ind w:left="0" w:leftChars="0" w:firstLine="0" w:firstLineChars="0"/>
              <w:jc w:val="center"/>
              <w:rPr>
                <w:rFonts w:hint="default" w:ascii="Times New Roman" w:hAnsi="Times New Roman" w:eastAsia="仿宋" w:cs="Times New Roman"/>
                <w:color w:val="auto"/>
                <w:sz w:val="24"/>
                <w:vertAlign w:val="baseline"/>
                <w:lang w:val="en-US" w:eastAsia="zh-CN"/>
              </w:rPr>
            </w:pPr>
            <w:r>
              <w:rPr>
                <w:rFonts w:hint="eastAsia" w:ascii="Times New Roman" w:hAnsi="Times New Roman" w:eastAsia="仿宋" w:cs="Times New Roman"/>
                <w:color w:val="auto"/>
                <w:sz w:val="24"/>
                <w:vertAlign w:val="baseline"/>
                <w:lang w:val="en-US" w:eastAsia="zh-CN"/>
              </w:rPr>
              <w:t>1</w:t>
            </w:r>
          </w:p>
        </w:tc>
        <w:tc>
          <w:tcPr>
            <w:tcW w:w="1327" w:type="dxa"/>
            <w:noWrap w:val="0"/>
            <w:vAlign w:val="center"/>
          </w:tcPr>
          <w:p w14:paraId="5CA7AB4A">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left"/>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rPr>
              <w:t>维保方案与技术措施</w:t>
            </w:r>
          </w:p>
        </w:tc>
        <w:tc>
          <w:tcPr>
            <w:tcW w:w="6090" w:type="dxa"/>
            <w:noWrap w:val="0"/>
            <w:vAlign w:val="center"/>
          </w:tcPr>
          <w:p w14:paraId="4BFBED4F">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rPr>
              <w:t>维保方案、</w:t>
            </w:r>
            <w:r>
              <w:rPr>
                <w:rFonts w:hint="default" w:ascii="Times New Roman" w:hAnsi="Times New Roman" w:eastAsia="仿宋" w:cs="Times New Roman"/>
                <w:color w:val="auto"/>
                <w:sz w:val="24"/>
                <w:szCs w:val="24"/>
                <w:highlight w:val="none"/>
              </w:rPr>
              <w:t>维保</w:t>
            </w:r>
            <w:r>
              <w:rPr>
                <w:rFonts w:hint="default" w:ascii="Times New Roman" w:hAnsi="Times New Roman" w:eastAsia="仿宋" w:cs="Times New Roman"/>
                <w:color w:val="auto"/>
                <w:sz w:val="24"/>
                <w:szCs w:val="24"/>
              </w:rPr>
              <w:t>方法先进、可行，技术措施针对工程质量、工期和施工安全生产有保障</w:t>
            </w:r>
            <w:r>
              <w:rPr>
                <w:rFonts w:hint="eastAsia" w:ascii="Times New Roman" w:hAnsi="Times New Roman" w:eastAsia="仿宋" w:cs="Times New Roman"/>
                <w:color w:val="auto"/>
                <w:sz w:val="24"/>
                <w:szCs w:val="24"/>
                <w:lang w:eastAsia="zh-CN"/>
              </w:rPr>
              <w:t>。（</w:t>
            </w:r>
            <w:r>
              <w:rPr>
                <w:rFonts w:hint="eastAsia" w:ascii="Times New Roman" w:hAnsi="Times New Roman" w:eastAsia="仿宋" w:cs="Times New Roman"/>
                <w:color w:val="auto"/>
                <w:sz w:val="24"/>
                <w:szCs w:val="24"/>
                <w:lang w:val="en-US" w:eastAsia="zh-CN"/>
              </w:rPr>
              <w:t>分值范围：1，2，3，4，5，6，7，8，9，10，11，12，13，14，15，16，17，18，19，20）</w:t>
            </w:r>
          </w:p>
        </w:tc>
        <w:tc>
          <w:tcPr>
            <w:tcW w:w="1086" w:type="dxa"/>
            <w:noWrap w:val="0"/>
            <w:vAlign w:val="center"/>
          </w:tcPr>
          <w:p w14:paraId="27DC8E3F">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center"/>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20</w:t>
            </w:r>
          </w:p>
        </w:tc>
      </w:tr>
      <w:tr w14:paraId="320EB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555" w:type="dxa"/>
            <w:noWrap w:val="0"/>
            <w:vAlign w:val="center"/>
          </w:tcPr>
          <w:p w14:paraId="0C4340C0">
            <w:pPr>
              <w:pStyle w:val="39"/>
              <w:keepNext w:val="0"/>
              <w:keepLines w:val="0"/>
              <w:pageBreakBefore w:val="0"/>
              <w:suppressLineNumbers w:val="0"/>
              <w:kinsoku/>
              <w:wordWrap/>
              <w:overflowPunct/>
              <w:topLinePunct w:val="0"/>
              <w:bidi w:val="0"/>
              <w:spacing w:before="0" w:beforeAutospacing="0" w:after="0" w:afterAutospacing="0" w:line="440" w:lineRule="exact"/>
              <w:ind w:left="0"/>
              <w:jc w:val="center"/>
              <w:rPr>
                <w:rFonts w:hint="eastAsia" w:ascii="Times New Roman" w:hAnsi="Times New Roman" w:eastAsia="仿宋" w:cs="Times New Roman"/>
                <w:color w:val="auto"/>
                <w:sz w:val="24"/>
                <w:vertAlign w:val="baseline"/>
                <w:lang w:val="en-US" w:eastAsia="zh-CN"/>
              </w:rPr>
            </w:pPr>
            <w:r>
              <w:rPr>
                <w:rFonts w:hint="eastAsia" w:ascii="Times New Roman" w:hAnsi="Times New Roman" w:eastAsia="仿宋" w:cs="Times New Roman"/>
                <w:color w:val="auto"/>
                <w:sz w:val="24"/>
                <w:vertAlign w:val="baseline"/>
                <w:lang w:val="en-US" w:eastAsia="zh-CN"/>
              </w:rPr>
              <w:t>2</w:t>
            </w:r>
          </w:p>
          <w:p w14:paraId="168C9258">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2</w:t>
            </w:r>
          </w:p>
        </w:tc>
        <w:tc>
          <w:tcPr>
            <w:tcW w:w="1327" w:type="dxa"/>
            <w:noWrap w:val="0"/>
            <w:vAlign w:val="center"/>
          </w:tcPr>
          <w:p w14:paraId="785F479B">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left"/>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rPr>
              <w:t>质量管理体系与保证措施</w:t>
            </w:r>
          </w:p>
        </w:tc>
        <w:tc>
          <w:tcPr>
            <w:tcW w:w="6090" w:type="dxa"/>
            <w:noWrap w:val="0"/>
            <w:vAlign w:val="center"/>
          </w:tcPr>
          <w:p w14:paraId="01986605">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rPr>
              <w:t>有质量管理体系、质量控制点、保证措施，措施合理、可行、详实</w:t>
            </w:r>
            <w:r>
              <w:rPr>
                <w:rFonts w:hint="eastAsia" w:ascii="Times New Roman" w:hAnsi="Times New Roman" w:eastAsia="仿宋" w:cs="Times New Roman"/>
                <w:color w:val="auto"/>
                <w:sz w:val="24"/>
                <w:szCs w:val="24"/>
                <w:lang w:eastAsia="zh-CN"/>
              </w:rPr>
              <w:t>。（</w:t>
            </w:r>
            <w:r>
              <w:rPr>
                <w:rFonts w:hint="eastAsia" w:ascii="Times New Roman" w:hAnsi="Times New Roman" w:eastAsia="仿宋" w:cs="Times New Roman"/>
                <w:color w:val="auto"/>
                <w:sz w:val="24"/>
                <w:szCs w:val="24"/>
                <w:lang w:val="en-US" w:eastAsia="zh-CN"/>
              </w:rPr>
              <w:t>分值范围：1，1.5，2，2.5，3，3.5，4，4.5，5）</w:t>
            </w:r>
          </w:p>
        </w:tc>
        <w:tc>
          <w:tcPr>
            <w:tcW w:w="1086" w:type="dxa"/>
            <w:noWrap w:val="0"/>
            <w:vAlign w:val="center"/>
          </w:tcPr>
          <w:p w14:paraId="1D6DA4C6">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center"/>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5</w:t>
            </w:r>
          </w:p>
        </w:tc>
      </w:tr>
      <w:tr w14:paraId="538C3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atLeast"/>
          <w:jc w:val="center"/>
        </w:trPr>
        <w:tc>
          <w:tcPr>
            <w:tcW w:w="555" w:type="dxa"/>
            <w:noWrap w:val="0"/>
            <w:vAlign w:val="center"/>
          </w:tcPr>
          <w:p w14:paraId="5A70399E">
            <w:pPr>
              <w:pStyle w:val="39"/>
              <w:keepNext w:val="0"/>
              <w:keepLines w:val="0"/>
              <w:pageBreakBefore w:val="0"/>
              <w:suppressLineNumbers w:val="0"/>
              <w:kinsoku/>
              <w:wordWrap/>
              <w:overflowPunct/>
              <w:topLinePunct w:val="0"/>
              <w:bidi w:val="0"/>
              <w:spacing w:before="0" w:beforeAutospacing="0" w:after="0" w:afterAutospacing="0" w:line="440" w:lineRule="exact"/>
              <w:ind w:left="0"/>
              <w:jc w:val="center"/>
              <w:rPr>
                <w:rFonts w:hint="default" w:ascii="Times New Roman" w:hAnsi="Times New Roman" w:eastAsia="仿宋" w:cs="Times New Roman"/>
                <w:color w:val="auto"/>
                <w:sz w:val="24"/>
                <w:vertAlign w:val="baseline"/>
                <w:lang w:val="en-US" w:eastAsia="zh-CN"/>
              </w:rPr>
            </w:pPr>
          </w:p>
          <w:p w14:paraId="72C0A3E0">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3</w:t>
            </w:r>
          </w:p>
        </w:tc>
        <w:tc>
          <w:tcPr>
            <w:tcW w:w="1327" w:type="dxa"/>
            <w:noWrap w:val="0"/>
            <w:vAlign w:val="center"/>
          </w:tcPr>
          <w:p w14:paraId="6D7EAC5D">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left"/>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rPr>
              <w:t>安全文明施工措施</w:t>
            </w:r>
          </w:p>
        </w:tc>
        <w:tc>
          <w:tcPr>
            <w:tcW w:w="6090" w:type="dxa"/>
            <w:noWrap w:val="0"/>
            <w:vAlign w:val="center"/>
          </w:tcPr>
          <w:p w14:paraId="7E7D0BF8">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rPr>
              <w:t>有安全管理体系和保证措施且安全保证体系合理完整、安全管理制度严谨可行</w:t>
            </w:r>
            <w:r>
              <w:rPr>
                <w:rFonts w:hint="eastAsia" w:ascii="Times New Roman" w:hAnsi="Times New Roman" w:eastAsia="仿宋" w:cs="Times New Roman"/>
                <w:color w:val="auto"/>
                <w:sz w:val="24"/>
                <w:szCs w:val="24"/>
                <w:lang w:eastAsia="zh-CN"/>
              </w:rPr>
              <w:t>。（</w:t>
            </w:r>
            <w:r>
              <w:rPr>
                <w:rFonts w:hint="eastAsia" w:ascii="Times New Roman" w:hAnsi="Times New Roman" w:eastAsia="仿宋" w:cs="Times New Roman"/>
                <w:color w:val="auto"/>
                <w:sz w:val="24"/>
                <w:szCs w:val="24"/>
                <w:lang w:val="en-US" w:eastAsia="zh-CN"/>
              </w:rPr>
              <w:t>分值范围：1，2，3，4，5，6，7，8）</w:t>
            </w:r>
          </w:p>
        </w:tc>
        <w:tc>
          <w:tcPr>
            <w:tcW w:w="1086" w:type="dxa"/>
            <w:noWrap w:val="0"/>
            <w:vAlign w:val="center"/>
          </w:tcPr>
          <w:p w14:paraId="68C26C8D">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center"/>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8</w:t>
            </w:r>
          </w:p>
        </w:tc>
      </w:tr>
      <w:tr w14:paraId="3CDFD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555" w:type="dxa"/>
            <w:noWrap w:val="0"/>
            <w:vAlign w:val="center"/>
          </w:tcPr>
          <w:p w14:paraId="3309F54E">
            <w:pPr>
              <w:keepNext w:val="0"/>
              <w:keepLines w:val="0"/>
              <w:suppressLineNumbers w:val="0"/>
              <w:bidi w:val="0"/>
              <w:spacing w:before="0" w:beforeAutospacing="0" w:after="0" w:afterAutospacing="0"/>
              <w:ind w:left="0" w:right="0"/>
              <w:jc w:val="both"/>
              <w:rPr>
                <w:rFonts w:hint="default"/>
                <w:lang w:val="en-US" w:eastAsia="zh-CN"/>
              </w:rPr>
            </w:pPr>
          </w:p>
          <w:p w14:paraId="48FCC4D2">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4</w:t>
            </w:r>
          </w:p>
        </w:tc>
        <w:tc>
          <w:tcPr>
            <w:tcW w:w="1327" w:type="dxa"/>
            <w:noWrap w:val="0"/>
            <w:vAlign w:val="center"/>
          </w:tcPr>
          <w:p w14:paraId="20CB506F">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left"/>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lang w:eastAsia="zh-CN"/>
              </w:rPr>
              <w:t>项目</w:t>
            </w:r>
            <w:r>
              <w:rPr>
                <w:rFonts w:hint="default" w:ascii="Times New Roman" w:hAnsi="Times New Roman" w:eastAsia="仿宋" w:cs="Times New Roman"/>
                <w:color w:val="auto"/>
                <w:sz w:val="24"/>
                <w:szCs w:val="24"/>
              </w:rPr>
              <w:t>进度计划与措施</w:t>
            </w:r>
          </w:p>
        </w:tc>
        <w:tc>
          <w:tcPr>
            <w:tcW w:w="6090" w:type="dxa"/>
            <w:noWrap w:val="0"/>
            <w:vAlign w:val="center"/>
          </w:tcPr>
          <w:p w14:paraId="19B521D5">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rPr>
              <w:t>确保工期的技术组织措施、关键工序、维保总进度表或工期网络图、关键路线清晰，各阶段维保进度计划明确、详实，措施合理、可行</w:t>
            </w:r>
            <w:r>
              <w:rPr>
                <w:rFonts w:hint="eastAsia" w:ascii="Times New Roman" w:hAnsi="Times New Roman" w:eastAsia="仿宋" w:cs="Times New Roman"/>
                <w:color w:val="auto"/>
                <w:sz w:val="24"/>
                <w:szCs w:val="24"/>
                <w:lang w:eastAsia="zh-CN"/>
              </w:rPr>
              <w:t>。（</w:t>
            </w:r>
            <w:r>
              <w:rPr>
                <w:rFonts w:hint="eastAsia" w:ascii="Times New Roman" w:hAnsi="Times New Roman" w:eastAsia="仿宋" w:cs="Times New Roman"/>
                <w:color w:val="auto"/>
                <w:sz w:val="24"/>
                <w:szCs w:val="24"/>
                <w:lang w:val="en-US" w:eastAsia="zh-CN"/>
              </w:rPr>
              <w:t>分值范围：1，1.5，2，2.5，3，3.5，4，4.5，5，5.5，6）</w:t>
            </w:r>
          </w:p>
        </w:tc>
        <w:tc>
          <w:tcPr>
            <w:tcW w:w="1086" w:type="dxa"/>
            <w:noWrap w:val="0"/>
            <w:vAlign w:val="center"/>
          </w:tcPr>
          <w:p w14:paraId="495FF9AC">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center"/>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6</w:t>
            </w:r>
          </w:p>
        </w:tc>
      </w:tr>
      <w:tr w14:paraId="0737F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6" w:hRule="atLeast"/>
          <w:jc w:val="center"/>
        </w:trPr>
        <w:tc>
          <w:tcPr>
            <w:tcW w:w="555" w:type="dxa"/>
            <w:noWrap w:val="0"/>
            <w:vAlign w:val="center"/>
          </w:tcPr>
          <w:p w14:paraId="4EE7C75E">
            <w:pPr>
              <w:pStyle w:val="39"/>
              <w:keepNext w:val="0"/>
              <w:keepLines w:val="0"/>
              <w:pageBreakBefore w:val="0"/>
              <w:suppressLineNumbers w:val="0"/>
              <w:kinsoku/>
              <w:wordWrap/>
              <w:overflowPunct/>
              <w:topLinePunct w:val="0"/>
              <w:bidi w:val="0"/>
              <w:spacing w:before="0" w:beforeAutospacing="0" w:after="0" w:afterAutospacing="0" w:line="440" w:lineRule="exact"/>
              <w:ind w:left="0"/>
              <w:jc w:val="center"/>
              <w:rPr>
                <w:rFonts w:hint="default" w:ascii="Times New Roman" w:hAnsi="Times New Roman" w:eastAsia="仿宋" w:cs="Times New Roman"/>
                <w:color w:val="auto"/>
                <w:sz w:val="24"/>
                <w:vertAlign w:val="baseline"/>
                <w:lang w:val="en-US" w:eastAsia="zh-CN"/>
              </w:rPr>
            </w:pPr>
          </w:p>
          <w:p w14:paraId="03F5F0C0">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5</w:t>
            </w:r>
          </w:p>
        </w:tc>
        <w:tc>
          <w:tcPr>
            <w:tcW w:w="1327" w:type="dxa"/>
            <w:noWrap w:val="0"/>
            <w:vAlign w:val="center"/>
          </w:tcPr>
          <w:p w14:paraId="7FC96966">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left"/>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rPr>
              <w:t>所投产品性能</w:t>
            </w:r>
          </w:p>
        </w:tc>
        <w:tc>
          <w:tcPr>
            <w:tcW w:w="6090" w:type="dxa"/>
            <w:noWrap w:val="0"/>
            <w:vAlign w:val="center"/>
          </w:tcPr>
          <w:p w14:paraId="3E3E82A1">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rPr>
              <w:t>确保供应设备、材料及配件质量的设施及措施，有严密的质量监控措施和先进的质量检测设施</w:t>
            </w:r>
            <w:r>
              <w:rPr>
                <w:rFonts w:hint="eastAsia" w:ascii="Times New Roman" w:hAnsi="Times New Roman" w:eastAsia="仿宋" w:cs="Times New Roman"/>
                <w:color w:val="auto"/>
                <w:sz w:val="24"/>
                <w:szCs w:val="24"/>
                <w:lang w:eastAsia="zh-CN"/>
              </w:rPr>
              <w:t>。（</w:t>
            </w:r>
            <w:r>
              <w:rPr>
                <w:rFonts w:hint="eastAsia" w:ascii="Times New Roman" w:hAnsi="Times New Roman" w:eastAsia="仿宋" w:cs="Times New Roman"/>
                <w:color w:val="auto"/>
                <w:sz w:val="24"/>
                <w:szCs w:val="24"/>
                <w:lang w:val="en-US" w:eastAsia="zh-CN"/>
              </w:rPr>
              <w:t>分值范围：1，1.5，2，2.5，3，3.5，4，4.5，5）</w:t>
            </w:r>
          </w:p>
        </w:tc>
        <w:tc>
          <w:tcPr>
            <w:tcW w:w="1086" w:type="dxa"/>
            <w:noWrap w:val="0"/>
            <w:vAlign w:val="center"/>
          </w:tcPr>
          <w:p w14:paraId="43D50EB7">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center"/>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5</w:t>
            </w:r>
          </w:p>
        </w:tc>
      </w:tr>
      <w:tr w14:paraId="325E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jc w:val="center"/>
        </w:trPr>
        <w:tc>
          <w:tcPr>
            <w:tcW w:w="555" w:type="dxa"/>
            <w:noWrap w:val="0"/>
            <w:vAlign w:val="center"/>
          </w:tcPr>
          <w:p w14:paraId="62680BB7">
            <w:pPr>
              <w:keepNext w:val="0"/>
              <w:keepLines w:val="0"/>
              <w:suppressLineNumbers w:val="0"/>
              <w:bidi w:val="0"/>
              <w:spacing w:before="0" w:beforeAutospacing="0" w:after="0" w:afterAutospacing="0"/>
              <w:ind w:left="0" w:right="0"/>
              <w:jc w:val="both"/>
              <w:rPr>
                <w:rFonts w:hint="default"/>
                <w:lang w:val="en-US" w:eastAsia="zh-CN"/>
              </w:rPr>
            </w:pPr>
          </w:p>
          <w:p w14:paraId="316E28EA">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6</w:t>
            </w:r>
          </w:p>
        </w:tc>
        <w:tc>
          <w:tcPr>
            <w:tcW w:w="1327" w:type="dxa"/>
            <w:noWrap w:val="0"/>
            <w:vAlign w:val="center"/>
          </w:tcPr>
          <w:p w14:paraId="445C36F4">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left"/>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lang w:eastAsia="zh-CN"/>
              </w:rPr>
              <w:t>人员配置方案</w:t>
            </w:r>
          </w:p>
        </w:tc>
        <w:tc>
          <w:tcPr>
            <w:tcW w:w="6090" w:type="dxa"/>
            <w:noWrap w:val="0"/>
            <w:vAlign w:val="center"/>
          </w:tcPr>
          <w:p w14:paraId="2A122DC1">
            <w:pPr>
              <w:keepNext w:val="0"/>
              <w:keepLines w:val="0"/>
              <w:pageBreakBefore w:val="0"/>
              <w:widowControl/>
              <w:suppressLineNumbers w:val="0"/>
              <w:kinsoku/>
              <w:wordWrap/>
              <w:overflowPunct/>
              <w:topLinePunct w:val="0"/>
              <w:bidi w:val="0"/>
              <w:spacing w:before="0" w:beforeAutospacing="0" w:after="0" w:afterAutospacing="0" w:line="440" w:lineRule="exact"/>
              <w:ind w:left="0" w:right="0"/>
              <w:jc w:val="left"/>
              <w:rPr>
                <w:rFonts w:hint="default" w:ascii="Times New Roman" w:hAnsi="Times New Roman" w:eastAsia="仿宋" w:cs="Times New Roman"/>
                <w:color w:val="auto"/>
                <w:sz w:val="24"/>
                <w:szCs w:val="24"/>
                <w:lang w:val="en-US"/>
              </w:rPr>
            </w:pPr>
            <w:r>
              <w:rPr>
                <w:rFonts w:hint="default" w:ascii="Times New Roman" w:hAnsi="Times New Roman" w:eastAsia="仿宋" w:cs="Times New Roman"/>
                <w:color w:val="auto"/>
                <w:kern w:val="2"/>
                <w:sz w:val="24"/>
                <w:szCs w:val="24"/>
                <w:lang w:val="en-US" w:eastAsia="zh-CN"/>
              </w:rPr>
              <w:t>1、</w:t>
            </w:r>
            <w:r>
              <w:rPr>
                <w:rFonts w:hint="default" w:ascii="Times New Roman" w:hAnsi="Times New Roman" w:eastAsia="仿宋" w:cs="Times New Roman"/>
                <w:color w:val="auto"/>
                <w:kern w:val="2"/>
                <w:sz w:val="24"/>
                <w:szCs w:val="24"/>
              </w:rPr>
              <w:t>项目负责人</w:t>
            </w:r>
            <w:r>
              <w:rPr>
                <w:rFonts w:hint="default" w:ascii="Times New Roman" w:hAnsi="Times New Roman" w:eastAsia="仿宋" w:cs="Times New Roman"/>
                <w:color w:val="auto"/>
                <w:kern w:val="2"/>
                <w:sz w:val="24"/>
                <w:szCs w:val="24"/>
                <w:lang w:eastAsia="zh-CN"/>
              </w:rPr>
              <w:t>：</w:t>
            </w:r>
            <w:r>
              <w:rPr>
                <w:rFonts w:hint="default" w:ascii="Times New Roman" w:hAnsi="Times New Roman" w:eastAsia="仿宋" w:cs="Times New Roman"/>
                <w:color w:val="auto"/>
                <w:kern w:val="2"/>
                <w:sz w:val="24"/>
                <w:szCs w:val="24"/>
              </w:rPr>
              <w:t xml:space="preserve">具备机电工程一级注册建造师证书并具备 B </w:t>
            </w:r>
            <w:r>
              <w:rPr>
                <w:rFonts w:hint="default" w:ascii="Times New Roman" w:hAnsi="Times New Roman" w:eastAsia="仿宋" w:cs="Times New Roman"/>
                <w:color w:val="auto"/>
                <w:kern w:val="2"/>
                <w:sz w:val="24"/>
                <w:szCs w:val="24"/>
                <w:highlight w:val="none"/>
              </w:rPr>
              <w:t>证并在投标截止日不得在其他任何在建合同工程中担任项目负责人的，得</w:t>
            </w:r>
            <w:r>
              <w:rPr>
                <w:rFonts w:hint="eastAsia" w:ascii="Times New Roman" w:hAnsi="Times New Roman" w:eastAsia="仿宋" w:cs="Times New Roman"/>
                <w:color w:val="auto"/>
                <w:kern w:val="2"/>
                <w:sz w:val="24"/>
                <w:szCs w:val="24"/>
                <w:highlight w:val="none"/>
                <w:lang w:val="en-US" w:eastAsia="zh-CN"/>
              </w:rPr>
              <w:t>4</w:t>
            </w:r>
            <w:r>
              <w:rPr>
                <w:rFonts w:hint="default" w:ascii="Times New Roman" w:hAnsi="Times New Roman" w:eastAsia="仿宋" w:cs="Times New Roman"/>
                <w:color w:val="auto"/>
                <w:kern w:val="2"/>
                <w:sz w:val="24"/>
                <w:szCs w:val="24"/>
                <w:highlight w:val="none"/>
              </w:rPr>
              <w:t>分；项目负责人为具备机电工程二级注册建造师证书并具备 B 证并在投标截止日不得在其他任何在建合同工程中担任项目负责人的，得2分</w:t>
            </w:r>
            <w:r>
              <w:rPr>
                <w:rFonts w:hint="default" w:ascii="Times New Roman" w:hAnsi="Times New Roman" w:eastAsia="仿宋" w:cs="Times New Roman"/>
                <w:color w:val="auto"/>
                <w:kern w:val="2"/>
                <w:sz w:val="24"/>
                <w:szCs w:val="24"/>
                <w:highlight w:val="none"/>
                <w:lang w:eastAsia="zh-CN"/>
              </w:rPr>
              <w:t>；</w:t>
            </w:r>
            <w:r>
              <w:rPr>
                <w:rFonts w:hint="default" w:ascii="Times New Roman" w:hAnsi="Times New Roman" w:eastAsia="仿宋" w:cs="Times New Roman"/>
                <w:color w:val="auto"/>
                <w:kern w:val="2"/>
                <w:sz w:val="24"/>
                <w:szCs w:val="24"/>
                <w:highlight w:val="none"/>
              </w:rPr>
              <w:t>项目负责人</w:t>
            </w:r>
            <w:r>
              <w:rPr>
                <w:rFonts w:hint="default" w:ascii="Times New Roman" w:hAnsi="Times New Roman" w:eastAsia="仿宋" w:cs="Times New Roman"/>
                <w:color w:val="auto"/>
                <w:kern w:val="2"/>
                <w:sz w:val="24"/>
                <w:szCs w:val="24"/>
                <w:highlight w:val="none"/>
                <w:lang w:eastAsia="zh-CN"/>
              </w:rPr>
              <w:t>不</w:t>
            </w:r>
            <w:r>
              <w:rPr>
                <w:rFonts w:hint="default" w:ascii="Times New Roman" w:hAnsi="Times New Roman" w:eastAsia="仿宋" w:cs="Times New Roman"/>
                <w:color w:val="auto"/>
                <w:kern w:val="2"/>
                <w:sz w:val="24"/>
                <w:szCs w:val="24"/>
                <w:highlight w:val="none"/>
              </w:rPr>
              <w:t>具备</w:t>
            </w:r>
            <w:r>
              <w:rPr>
                <w:rFonts w:hint="default" w:ascii="Times New Roman" w:hAnsi="Times New Roman" w:eastAsia="仿宋" w:cs="Times New Roman"/>
                <w:color w:val="auto"/>
                <w:kern w:val="2"/>
                <w:sz w:val="24"/>
                <w:szCs w:val="24"/>
                <w:highlight w:val="none"/>
                <w:lang w:eastAsia="zh-CN"/>
              </w:rPr>
              <w:t>以上相应证书的不得分</w:t>
            </w:r>
            <w:r>
              <w:rPr>
                <w:rFonts w:hint="eastAsia" w:ascii="Times New Roman" w:hAnsi="Times New Roman" w:eastAsia="仿宋" w:cs="Times New Roman"/>
                <w:color w:val="auto"/>
                <w:kern w:val="2"/>
                <w:sz w:val="24"/>
                <w:szCs w:val="24"/>
                <w:highlight w:val="none"/>
                <w:lang w:eastAsia="zh-CN"/>
              </w:rPr>
              <w:t>，</w:t>
            </w:r>
            <w:r>
              <w:rPr>
                <w:rFonts w:hint="default" w:ascii="Times New Roman" w:hAnsi="Times New Roman" w:eastAsia="仿宋" w:cs="Times New Roman"/>
                <w:color w:val="auto"/>
                <w:kern w:val="2"/>
                <w:sz w:val="24"/>
                <w:szCs w:val="24"/>
                <w:highlight w:val="none"/>
              </w:rPr>
              <w:t>在投标截止日不得在其他任何在建合同工程中担任项目负责人</w:t>
            </w:r>
            <w:r>
              <w:rPr>
                <w:rFonts w:hint="eastAsia" w:ascii="Times New Roman" w:hAnsi="Times New Roman" w:eastAsia="仿宋" w:cs="Times New Roman"/>
                <w:color w:val="auto"/>
                <w:kern w:val="2"/>
                <w:sz w:val="24"/>
                <w:szCs w:val="24"/>
                <w:highlight w:val="none"/>
                <w:lang w:val="en-US" w:eastAsia="zh-CN"/>
              </w:rPr>
              <w:t>须提供承诺，不提供不得分</w:t>
            </w:r>
            <w:r>
              <w:rPr>
                <w:rFonts w:hint="default" w:ascii="Times New Roman" w:hAnsi="Times New Roman" w:eastAsia="仿宋" w:cs="Times New Roman"/>
                <w:color w:val="auto"/>
                <w:kern w:val="2"/>
                <w:sz w:val="24"/>
                <w:szCs w:val="24"/>
                <w:highlight w:val="none"/>
                <w:lang w:eastAsia="zh-CN"/>
              </w:rPr>
              <w:t>。</w:t>
            </w:r>
          </w:p>
          <w:p w14:paraId="00A67732">
            <w:pPr>
              <w:keepNext w:val="0"/>
              <w:keepLines w:val="0"/>
              <w:pageBreakBefore w:val="0"/>
              <w:widowControl/>
              <w:suppressLineNumbers w:val="0"/>
              <w:kinsoku/>
              <w:wordWrap/>
              <w:overflowPunct/>
              <w:topLinePunct w:val="0"/>
              <w:bidi w:val="0"/>
              <w:spacing w:before="0" w:beforeAutospacing="0" w:after="0" w:afterAutospacing="0" w:line="440" w:lineRule="exact"/>
              <w:ind w:left="0" w:right="0"/>
              <w:jc w:val="left"/>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val="en-US" w:eastAsia="zh-CN"/>
              </w:rPr>
              <w:t>2、</w:t>
            </w:r>
            <w:r>
              <w:rPr>
                <w:rFonts w:hint="default" w:ascii="Times New Roman" w:hAnsi="Times New Roman" w:eastAsia="仿宋" w:cs="Times New Roman"/>
                <w:color w:val="auto"/>
                <w:sz w:val="24"/>
                <w:szCs w:val="24"/>
                <w:lang w:eastAsia="zh-CN"/>
              </w:rPr>
              <w:t>项目组成员：</w:t>
            </w:r>
            <w:r>
              <w:rPr>
                <w:rFonts w:hint="default" w:ascii="Times New Roman" w:hAnsi="Times New Roman" w:eastAsia="仿宋" w:cs="Times New Roman"/>
                <w:color w:val="auto"/>
                <w:sz w:val="24"/>
                <w:szCs w:val="24"/>
              </w:rPr>
              <w:t>投入主要技术人员专业性、经验、岗位分工完整性进行对比，人员配置齐全，能很好的分工协调项目实施事宜</w:t>
            </w:r>
            <w:r>
              <w:rPr>
                <w:rFonts w:hint="eastAsia" w:ascii="Times New Roman" w:hAnsi="Times New Roman" w:eastAsia="仿宋" w:cs="Times New Roman"/>
                <w:color w:val="auto"/>
                <w:sz w:val="24"/>
                <w:szCs w:val="24"/>
                <w:lang w:eastAsia="zh-CN"/>
              </w:rPr>
              <w:t>。（</w:t>
            </w:r>
            <w:r>
              <w:rPr>
                <w:rFonts w:hint="eastAsia" w:ascii="Times New Roman" w:hAnsi="Times New Roman" w:eastAsia="仿宋" w:cs="Times New Roman"/>
                <w:color w:val="auto"/>
                <w:sz w:val="24"/>
                <w:szCs w:val="24"/>
                <w:lang w:val="en-US" w:eastAsia="zh-CN"/>
              </w:rPr>
              <w:t>分值范围：1，2，3，4）</w:t>
            </w:r>
          </w:p>
          <w:p w14:paraId="4689C7B1">
            <w:pPr>
              <w:keepNext w:val="0"/>
              <w:keepLines w:val="0"/>
              <w:pageBreakBefore w:val="0"/>
              <w:numPr>
                <w:ilvl w:val="0"/>
                <w:numId w:val="0"/>
              </w:numPr>
              <w:suppressLineNumbers w:val="0"/>
              <w:kinsoku/>
              <w:wordWrap/>
              <w:overflowPunct/>
              <w:topLinePunct w:val="0"/>
              <w:bidi w:val="0"/>
              <w:snapToGrid w:val="0"/>
              <w:spacing w:before="0" w:beforeAutospacing="0" w:after="0" w:afterAutospacing="0" w:line="440" w:lineRule="exact"/>
              <w:ind w:left="0" w:leftChars="0" w:right="0" w:firstLine="0" w:firstLineChars="0"/>
              <w:jc w:val="left"/>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b/>
                <w:bCs/>
                <w:color w:val="auto"/>
                <w:sz w:val="24"/>
                <w:szCs w:val="24"/>
              </w:rPr>
              <w:t>注：</w:t>
            </w:r>
            <w:r>
              <w:rPr>
                <w:rFonts w:hint="default" w:ascii="Times New Roman" w:hAnsi="Times New Roman" w:eastAsia="仿宋" w:cs="Times New Roman"/>
                <w:b/>
                <w:bCs/>
                <w:snapToGrid w:val="0"/>
                <w:color w:val="auto"/>
                <w:sz w:val="24"/>
                <w:szCs w:val="24"/>
              </w:rPr>
              <w:t>提供有效期内的相关证书复印件及相关人员近</w:t>
            </w:r>
            <w:r>
              <w:rPr>
                <w:rFonts w:hint="default" w:ascii="Times New Roman" w:hAnsi="Times New Roman" w:eastAsia="仿宋" w:cs="Times New Roman"/>
                <w:b/>
                <w:bCs/>
                <w:snapToGrid w:val="0"/>
                <w:color w:val="auto"/>
                <w:sz w:val="24"/>
                <w:szCs w:val="24"/>
                <w:lang w:val="en-US" w:eastAsia="zh-CN"/>
              </w:rPr>
              <w:t>3</w:t>
            </w:r>
            <w:r>
              <w:rPr>
                <w:rFonts w:hint="default" w:ascii="Times New Roman" w:hAnsi="Times New Roman" w:eastAsia="仿宋" w:cs="Times New Roman"/>
                <w:b/>
                <w:bCs/>
                <w:snapToGrid w:val="0"/>
                <w:color w:val="auto"/>
                <w:sz w:val="24"/>
                <w:szCs w:val="24"/>
              </w:rPr>
              <w:t>个月</w:t>
            </w:r>
            <w:r>
              <w:rPr>
                <w:rFonts w:hint="eastAsia" w:ascii="Times New Roman" w:hAnsi="Times New Roman" w:eastAsia="仿宋" w:cs="Times New Roman"/>
                <w:b/>
                <w:bCs/>
                <w:snapToGrid w:val="0"/>
                <w:color w:val="auto"/>
                <w:sz w:val="24"/>
                <w:szCs w:val="24"/>
                <w:lang w:val="en-US" w:eastAsia="zh-CN"/>
              </w:rPr>
              <w:t>任意一个月</w:t>
            </w:r>
            <w:r>
              <w:rPr>
                <w:rFonts w:hint="default" w:ascii="Times New Roman" w:hAnsi="Times New Roman" w:eastAsia="仿宋" w:cs="Times New Roman"/>
                <w:b/>
                <w:bCs/>
                <w:snapToGrid w:val="0"/>
                <w:color w:val="auto"/>
                <w:sz w:val="24"/>
                <w:szCs w:val="24"/>
              </w:rPr>
              <w:t>的</w:t>
            </w:r>
            <w:r>
              <w:rPr>
                <w:rFonts w:hint="eastAsia" w:ascii="Times New Roman" w:hAnsi="Times New Roman" w:eastAsia="仿宋" w:cs="Times New Roman"/>
                <w:b/>
                <w:bCs/>
                <w:snapToGrid w:val="0"/>
                <w:color w:val="auto"/>
                <w:sz w:val="24"/>
                <w:szCs w:val="24"/>
                <w:lang w:val="en-US" w:eastAsia="zh-CN"/>
              </w:rPr>
              <w:t>本单位为其缴纳的</w:t>
            </w:r>
            <w:r>
              <w:rPr>
                <w:rFonts w:hint="default" w:ascii="Times New Roman" w:hAnsi="Times New Roman" w:eastAsia="仿宋" w:cs="Times New Roman"/>
                <w:b/>
                <w:bCs/>
                <w:snapToGrid w:val="0"/>
                <w:color w:val="auto"/>
                <w:sz w:val="24"/>
                <w:szCs w:val="24"/>
              </w:rPr>
              <w:t>社保证明材料，否则不得分。</w:t>
            </w:r>
          </w:p>
        </w:tc>
        <w:tc>
          <w:tcPr>
            <w:tcW w:w="1086" w:type="dxa"/>
            <w:noWrap w:val="0"/>
            <w:vAlign w:val="center"/>
          </w:tcPr>
          <w:p w14:paraId="6056C81A">
            <w:pPr>
              <w:keepNext w:val="0"/>
              <w:keepLines w:val="0"/>
              <w:pageBreakBefore w:val="0"/>
              <w:numPr>
                <w:ilvl w:val="0"/>
                <w:numId w:val="0"/>
              </w:numPr>
              <w:suppressLineNumbers w:val="0"/>
              <w:kinsoku/>
              <w:wordWrap/>
              <w:overflowPunct/>
              <w:topLinePunct w:val="0"/>
              <w:bidi w:val="0"/>
              <w:snapToGrid w:val="0"/>
              <w:spacing w:before="0" w:beforeAutospacing="0" w:after="0" w:afterAutospacing="0" w:line="440" w:lineRule="exact"/>
              <w:ind w:left="0" w:leftChars="0" w:right="0" w:firstLine="0" w:firstLineChars="0"/>
              <w:jc w:val="center"/>
              <w:rPr>
                <w:rFonts w:hint="eastAsia" w:ascii="Times New Roman" w:hAnsi="Times New Roman" w:eastAsia="仿宋" w:cs="Times New Roman"/>
                <w:b/>
                <w:bCs/>
                <w:color w:val="auto"/>
                <w:sz w:val="24"/>
                <w:szCs w:val="24"/>
                <w:lang w:val="en-US" w:eastAsia="zh-CN"/>
              </w:rPr>
            </w:pPr>
            <w:r>
              <w:rPr>
                <w:rFonts w:hint="eastAsia" w:ascii="Times New Roman" w:hAnsi="Times New Roman" w:eastAsia="仿宋" w:cs="Times New Roman"/>
                <w:b/>
                <w:bCs/>
                <w:color w:val="auto"/>
                <w:sz w:val="24"/>
                <w:szCs w:val="24"/>
                <w:lang w:val="en-US" w:eastAsia="zh-CN"/>
              </w:rPr>
              <w:t>8</w:t>
            </w:r>
          </w:p>
        </w:tc>
      </w:tr>
      <w:tr w14:paraId="6C237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9058" w:type="dxa"/>
            <w:gridSpan w:val="4"/>
            <w:noWrap w:val="0"/>
            <w:vAlign w:val="center"/>
          </w:tcPr>
          <w:p w14:paraId="0A8C3DDE">
            <w:pPr>
              <w:pStyle w:val="39"/>
              <w:keepNext w:val="0"/>
              <w:keepLines w:val="0"/>
              <w:pageBreakBefore w:val="0"/>
              <w:suppressLineNumbers w:val="0"/>
              <w:kinsoku/>
              <w:wordWrap/>
              <w:overflowPunct/>
              <w:topLinePunct w:val="0"/>
              <w:bidi w:val="0"/>
              <w:spacing w:before="0" w:beforeAutospacing="0" w:after="0" w:afterAutospacing="0" w:line="440" w:lineRule="exact"/>
              <w:ind w:left="0" w:leftChars="0" w:right="181" w:rightChars="0" w:firstLine="0" w:firstLineChars="0"/>
              <w:jc w:val="center"/>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snapToGrid w:val="0"/>
                <w:color w:val="auto"/>
                <w:kern w:val="0"/>
                <w:sz w:val="24"/>
                <w:szCs w:val="24"/>
                <w:lang w:val="en-US" w:eastAsia="zh-CN"/>
              </w:rPr>
              <w:t>商务</w:t>
            </w:r>
            <w:r>
              <w:rPr>
                <w:rFonts w:hint="default" w:ascii="Times New Roman" w:hAnsi="Times New Roman" w:eastAsia="仿宋" w:cs="Times New Roman"/>
                <w:snapToGrid w:val="0"/>
                <w:color w:val="auto"/>
                <w:kern w:val="0"/>
                <w:sz w:val="24"/>
                <w:szCs w:val="24"/>
              </w:rPr>
              <w:t>、资信及</w:t>
            </w:r>
            <w:r>
              <w:rPr>
                <w:rFonts w:hint="default" w:ascii="Times New Roman" w:hAnsi="Times New Roman" w:eastAsia="仿宋" w:cs="Times New Roman"/>
                <w:snapToGrid w:val="0"/>
                <w:color w:val="auto"/>
                <w:kern w:val="0"/>
                <w:sz w:val="24"/>
                <w:szCs w:val="24"/>
                <w:lang w:eastAsia="zh-CN"/>
              </w:rPr>
              <w:t>其</w:t>
            </w:r>
            <w:r>
              <w:rPr>
                <w:rFonts w:hint="default" w:ascii="Times New Roman" w:hAnsi="Times New Roman" w:eastAsia="仿宋" w:cs="Times New Roman"/>
                <w:snapToGrid w:val="0"/>
                <w:color w:val="auto"/>
                <w:kern w:val="0"/>
                <w:sz w:val="24"/>
                <w:szCs w:val="24"/>
              </w:rPr>
              <w:t>他分</w:t>
            </w:r>
            <w:r>
              <w:rPr>
                <w:rFonts w:hint="default" w:ascii="Times New Roman" w:hAnsi="Times New Roman" w:eastAsia="仿宋" w:cs="Times New Roman"/>
                <w:color w:val="auto"/>
                <w:kern w:val="0"/>
                <w:sz w:val="24"/>
                <w:szCs w:val="24"/>
                <w:lang w:val="en-US" w:eastAsia="zh-CN"/>
              </w:rPr>
              <w:t>（18</w:t>
            </w:r>
            <w:r>
              <w:rPr>
                <w:rFonts w:hint="default" w:ascii="Times New Roman" w:hAnsi="Times New Roman" w:eastAsia="仿宋" w:cs="Times New Roman"/>
                <w:color w:val="auto"/>
                <w:kern w:val="0"/>
                <w:sz w:val="24"/>
                <w:szCs w:val="24"/>
              </w:rPr>
              <w:t>分）</w:t>
            </w:r>
          </w:p>
        </w:tc>
      </w:tr>
      <w:tr w14:paraId="01A51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555" w:type="dxa"/>
            <w:noWrap w:val="0"/>
            <w:vAlign w:val="center"/>
          </w:tcPr>
          <w:p w14:paraId="070F1C0E">
            <w:pPr>
              <w:keepNext w:val="0"/>
              <w:keepLines w:val="0"/>
              <w:pageBreakBefore w:val="0"/>
              <w:suppressLineNumbers w:val="0"/>
              <w:kinsoku/>
              <w:wordWrap/>
              <w:overflowPunct/>
              <w:topLinePunct w:val="0"/>
              <w:bidi w:val="0"/>
              <w:spacing w:before="0" w:beforeAutospacing="0" w:after="0" w:afterAutospacing="0" w:line="440" w:lineRule="exact"/>
              <w:ind w:left="0" w:right="0"/>
              <w:jc w:val="center"/>
              <w:rPr>
                <w:rFonts w:hint="eastAsia" w:ascii="Times New Roman" w:hAnsi="Times New Roman" w:eastAsia="仿宋" w:cs="Times New Roman"/>
                <w:color w:val="auto"/>
                <w:sz w:val="24"/>
                <w:vertAlign w:val="baseline"/>
                <w:lang w:val="en-US" w:eastAsia="zh-CN"/>
              </w:rPr>
            </w:pPr>
            <w:r>
              <w:rPr>
                <w:rFonts w:hint="eastAsia" w:ascii="Times New Roman" w:hAnsi="Times New Roman" w:eastAsia="仿宋" w:cs="Times New Roman"/>
                <w:snapToGrid w:val="0"/>
                <w:color w:val="auto"/>
                <w:kern w:val="0"/>
                <w:sz w:val="24"/>
                <w:szCs w:val="24"/>
                <w:lang w:val="en-US" w:eastAsia="zh-CN"/>
              </w:rPr>
              <w:t>7</w:t>
            </w:r>
          </w:p>
        </w:tc>
        <w:tc>
          <w:tcPr>
            <w:tcW w:w="1327" w:type="dxa"/>
            <w:noWrap w:val="0"/>
            <w:vAlign w:val="center"/>
          </w:tcPr>
          <w:p w14:paraId="65DC33F4">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left"/>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rPr>
              <w:t>服务承诺</w:t>
            </w:r>
            <w:r>
              <w:rPr>
                <w:rFonts w:hint="default" w:ascii="Times New Roman" w:hAnsi="Times New Roman" w:eastAsia="仿宋" w:cs="Times New Roman"/>
                <w:color w:val="auto"/>
                <w:sz w:val="24"/>
                <w:szCs w:val="24"/>
                <w:lang w:eastAsia="zh-CN"/>
              </w:rPr>
              <w:t>及优惠承诺</w:t>
            </w:r>
          </w:p>
        </w:tc>
        <w:tc>
          <w:tcPr>
            <w:tcW w:w="6090" w:type="dxa"/>
            <w:noWrap w:val="0"/>
            <w:vAlign w:val="center"/>
          </w:tcPr>
          <w:p w14:paraId="3A0863D1">
            <w:pPr>
              <w:keepNext w:val="0"/>
              <w:keepLines w:val="0"/>
              <w:pageBreakBefore w:val="0"/>
              <w:numPr>
                <w:ilvl w:val="0"/>
                <w:numId w:val="0"/>
              </w:numPr>
              <w:suppressLineNumbers w:val="0"/>
              <w:kinsoku/>
              <w:wordWrap/>
              <w:overflowPunct/>
              <w:topLinePunct w:val="0"/>
              <w:bidi w:val="0"/>
              <w:snapToGrid w:val="0"/>
              <w:spacing w:before="0" w:beforeAutospacing="0" w:after="0" w:afterAutospacing="0" w:line="440" w:lineRule="exact"/>
              <w:ind w:left="0" w:right="0"/>
              <w:jc w:val="left"/>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val="en-US" w:eastAsia="zh-CN"/>
              </w:rPr>
              <w:t>1</w:t>
            </w: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rPr>
              <w:t>承诺</w:t>
            </w:r>
            <w:r>
              <w:rPr>
                <w:rFonts w:hint="default" w:ascii="Times New Roman" w:hAnsi="Times New Roman" w:eastAsia="仿宋" w:cs="Times New Roman"/>
                <w:color w:val="auto"/>
                <w:sz w:val="24"/>
                <w:szCs w:val="24"/>
                <w:lang w:eastAsia="zh-CN"/>
              </w:rPr>
              <w:t>服务</w:t>
            </w:r>
            <w:r>
              <w:rPr>
                <w:rFonts w:hint="default" w:ascii="Times New Roman" w:hAnsi="Times New Roman" w:eastAsia="仿宋" w:cs="Times New Roman"/>
                <w:color w:val="auto"/>
                <w:sz w:val="24"/>
                <w:szCs w:val="24"/>
              </w:rPr>
              <w:t>质量、工期</w:t>
            </w:r>
            <w:r>
              <w:rPr>
                <w:rFonts w:hint="default" w:ascii="Times New Roman" w:hAnsi="Times New Roman" w:eastAsia="仿宋" w:cs="Times New Roman"/>
                <w:color w:val="auto"/>
                <w:sz w:val="24"/>
                <w:szCs w:val="24"/>
                <w:lang w:eastAsia="zh-CN"/>
              </w:rPr>
              <w:t>等</w:t>
            </w:r>
            <w:r>
              <w:rPr>
                <w:rFonts w:hint="default" w:ascii="Times New Roman" w:hAnsi="Times New Roman" w:eastAsia="仿宋" w:cs="Times New Roman"/>
                <w:color w:val="auto"/>
                <w:sz w:val="24"/>
                <w:szCs w:val="24"/>
              </w:rPr>
              <w:t>达到招标文件要求并有具体措施且有送电的承诺</w:t>
            </w:r>
            <w:r>
              <w:rPr>
                <w:rFonts w:hint="eastAsia" w:ascii="Times New Roman" w:hAnsi="Times New Roman" w:eastAsia="仿宋" w:cs="Times New Roman"/>
                <w:color w:val="auto"/>
                <w:sz w:val="24"/>
                <w:szCs w:val="24"/>
                <w:lang w:eastAsia="zh-CN"/>
              </w:rPr>
              <w:t>。</w:t>
            </w:r>
            <w:r>
              <w:rPr>
                <w:rFonts w:hint="eastAsia" w:ascii="Times New Roman" w:hAnsi="Times New Roman" w:eastAsia="仿宋" w:cs="Times New Roman"/>
                <w:color w:val="auto"/>
                <w:sz w:val="24"/>
                <w:szCs w:val="24"/>
                <w:lang w:val="en-US" w:eastAsia="zh-CN"/>
              </w:rPr>
              <w:t>有承诺得3分，没有不得分</w:t>
            </w:r>
            <w:r>
              <w:rPr>
                <w:rFonts w:hint="default" w:ascii="Times New Roman" w:hAnsi="Times New Roman" w:eastAsia="仿宋" w:cs="Times New Roman"/>
                <w:color w:val="auto"/>
                <w:sz w:val="24"/>
                <w:szCs w:val="24"/>
              </w:rPr>
              <w:t>。</w:t>
            </w:r>
          </w:p>
          <w:p w14:paraId="3866AB12">
            <w:pPr>
              <w:pStyle w:val="39"/>
              <w:keepNext w:val="0"/>
              <w:keepLines w:val="0"/>
              <w:pageBreakBefore w:val="0"/>
              <w:suppressLineNumbers w:val="0"/>
              <w:kinsoku/>
              <w:wordWrap/>
              <w:overflowPunct/>
              <w:topLinePunct w:val="0"/>
              <w:bidi w:val="0"/>
              <w:spacing w:before="0" w:beforeAutospacing="0" w:after="0" w:afterAutospacing="0" w:line="440" w:lineRule="exact"/>
              <w:ind w:left="0" w:leftChars="0" w:right="181" w:rightChars="0" w:firstLine="0" w:firstLineChars="0"/>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lang w:val="en-US" w:eastAsia="zh-CN"/>
              </w:rPr>
              <w:t>2</w:t>
            </w:r>
            <w:r>
              <w:rPr>
                <w:rFonts w:hint="eastAsia" w:ascii="Times New Roman" w:hAnsi="Times New Roman" w:eastAsia="仿宋" w:cs="Times New Roman"/>
                <w:color w:val="auto"/>
                <w:sz w:val="24"/>
                <w:szCs w:val="24"/>
                <w:lang w:val="en-US" w:eastAsia="zh-CN"/>
              </w:rPr>
              <w:t>.</w:t>
            </w:r>
            <w:r>
              <w:rPr>
                <w:rFonts w:hint="default" w:ascii="Times New Roman" w:hAnsi="Times New Roman" w:eastAsia="仿宋" w:cs="Times New Roman"/>
                <w:color w:val="auto"/>
                <w:sz w:val="24"/>
                <w:szCs w:val="24"/>
              </w:rPr>
              <w:t>投标人</w:t>
            </w:r>
            <w:r>
              <w:rPr>
                <w:rFonts w:hint="eastAsia" w:ascii="Times New Roman" w:hAnsi="Times New Roman" w:eastAsia="仿宋" w:cs="Times New Roman"/>
                <w:color w:val="auto"/>
                <w:sz w:val="24"/>
                <w:szCs w:val="24"/>
                <w:lang w:val="en-US" w:eastAsia="zh-CN"/>
              </w:rPr>
              <w:t>须</w:t>
            </w:r>
            <w:r>
              <w:rPr>
                <w:rFonts w:hint="default" w:ascii="Times New Roman" w:hAnsi="Times New Roman" w:eastAsia="仿宋" w:cs="Times New Roman"/>
                <w:color w:val="auto"/>
                <w:sz w:val="24"/>
                <w:szCs w:val="24"/>
              </w:rPr>
              <w:t>优惠条件</w:t>
            </w:r>
            <w:r>
              <w:rPr>
                <w:rFonts w:hint="eastAsia" w:ascii="Times New Roman" w:hAnsi="Times New Roman" w:eastAsia="仿宋" w:cs="Times New Roman"/>
                <w:color w:val="auto"/>
                <w:sz w:val="24"/>
                <w:szCs w:val="24"/>
                <w:lang w:eastAsia="zh-CN"/>
              </w:rPr>
              <w:t>，</w:t>
            </w:r>
            <w:r>
              <w:rPr>
                <w:rFonts w:hint="eastAsia" w:ascii="Times New Roman" w:hAnsi="Times New Roman" w:eastAsia="仿宋" w:cs="Times New Roman"/>
                <w:color w:val="auto"/>
                <w:sz w:val="24"/>
                <w:szCs w:val="24"/>
                <w:lang w:val="en-US" w:eastAsia="zh-CN"/>
              </w:rPr>
              <w:t>每提供一项得1分，最多得3分</w:t>
            </w:r>
            <w:r>
              <w:rPr>
                <w:rFonts w:hint="default" w:ascii="Times New Roman" w:hAnsi="Times New Roman" w:eastAsia="仿宋" w:cs="Times New Roman"/>
                <w:color w:val="auto"/>
                <w:sz w:val="24"/>
                <w:szCs w:val="24"/>
              </w:rPr>
              <w:t>。</w:t>
            </w:r>
          </w:p>
        </w:tc>
        <w:tc>
          <w:tcPr>
            <w:tcW w:w="1086" w:type="dxa"/>
            <w:noWrap w:val="0"/>
            <w:vAlign w:val="center"/>
          </w:tcPr>
          <w:p w14:paraId="75C99ADF">
            <w:pPr>
              <w:pStyle w:val="39"/>
              <w:keepNext w:val="0"/>
              <w:keepLines w:val="0"/>
              <w:pageBreakBefore w:val="0"/>
              <w:suppressLineNumbers w:val="0"/>
              <w:kinsoku/>
              <w:wordWrap/>
              <w:overflowPunct/>
              <w:topLinePunct w:val="0"/>
              <w:bidi w:val="0"/>
              <w:spacing w:before="0" w:beforeAutospacing="0" w:after="0" w:afterAutospacing="0" w:line="440" w:lineRule="exact"/>
              <w:ind w:left="0" w:leftChars="0" w:right="181" w:rightChars="0" w:firstLine="0" w:firstLineChars="0"/>
              <w:jc w:val="center"/>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6</w:t>
            </w:r>
          </w:p>
        </w:tc>
      </w:tr>
      <w:tr w14:paraId="66177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555" w:type="dxa"/>
            <w:noWrap w:val="0"/>
            <w:vAlign w:val="center"/>
          </w:tcPr>
          <w:p w14:paraId="7DF75058">
            <w:pPr>
              <w:pStyle w:val="39"/>
              <w:keepNext w:val="0"/>
              <w:keepLines w:val="0"/>
              <w:pageBreakBefore w:val="0"/>
              <w:suppressLineNumbers w:val="0"/>
              <w:kinsoku/>
              <w:wordWrap/>
              <w:overflowPunct/>
              <w:topLinePunct w:val="0"/>
              <w:bidi w:val="0"/>
              <w:spacing w:before="0" w:beforeAutospacing="0" w:after="0" w:afterAutospacing="0" w:line="440" w:lineRule="exact"/>
              <w:ind w:left="0"/>
              <w:jc w:val="center"/>
              <w:rPr>
                <w:rFonts w:hint="default"/>
                <w:lang w:val="en-US" w:eastAsia="zh-CN"/>
              </w:rPr>
            </w:pPr>
            <w:r>
              <w:rPr>
                <w:rFonts w:hint="eastAsia" w:ascii="Times New Roman" w:hAnsi="Times New Roman" w:eastAsia="仿宋" w:cs="Times New Roman"/>
                <w:color w:val="auto"/>
                <w:sz w:val="24"/>
                <w:vertAlign w:val="baseline"/>
                <w:lang w:val="en-US" w:eastAsia="zh-CN"/>
              </w:rPr>
              <w:t>2</w:t>
            </w:r>
          </w:p>
          <w:p w14:paraId="6397BB2D">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8</w:t>
            </w:r>
          </w:p>
        </w:tc>
        <w:tc>
          <w:tcPr>
            <w:tcW w:w="1327" w:type="dxa"/>
            <w:noWrap w:val="0"/>
            <w:vAlign w:val="center"/>
          </w:tcPr>
          <w:p w14:paraId="5C9A9CA1">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left"/>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lang w:eastAsia="zh-CN"/>
              </w:rPr>
              <w:t>技术培训方案</w:t>
            </w:r>
          </w:p>
        </w:tc>
        <w:tc>
          <w:tcPr>
            <w:tcW w:w="6090" w:type="dxa"/>
            <w:noWrap w:val="0"/>
            <w:vAlign w:val="center"/>
          </w:tcPr>
          <w:p w14:paraId="1EFB76C9">
            <w:pPr>
              <w:keepNext w:val="0"/>
              <w:keepLines w:val="0"/>
              <w:pageBreakBefore w:val="0"/>
              <w:numPr>
                <w:ilvl w:val="0"/>
                <w:numId w:val="0"/>
              </w:numPr>
              <w:suppressLineNumbers w:val="0"/>
              <w:kinsoku/>
              <w:wordWrap/>
              <w:overflowPunct/>
              <w:topLinePunct w:val="0"/>
              <w:bidi w:val="0"/>
              <w:snapToGrid w:val="0"/>
              <w:spacing w:before="0" w:beforeAutospacing="0" w:after="0" w:afterAutospacing="0" w:line="440" w:lineRule="exact"/>
              <w:ind w:left="0" w:leftChars="0" w:right="0" w:firstLine="0" w:firstLineChars="0"/>
              <w:jc w:val="left"/>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rPr>
              <w:t>投标人列出培训对象与内容、培训计划、培训保障（人员、设施、质量等方面）、培训流程等方案</w:t>
            </w:r>
            <w:r>
              <w:rPr>
                <w:rFonts w:hint="default" w:ascii="Times New Roman" w:hAnsi="Times New Roman" w:eastAsia="仿宋" w:cs="Times New Roman"/>
                <w:color w:val="auto"/>
                <w:kern w:val="0"/>
                <w:sz w:val="24"/>
                <w:szCs w:val="24"/>
              </w:rPr>
              <w:t>内容完整、科学合理</w:t>
            </w:r>
            <w:r>
              <w:rPr>
                <w:rFonts w:hint="default" w:ascii="Times New Roman" w:hAnsi="Times New Roman" w:eastAsia="仿宋" w:cs="Times New Roman"/>
                <w:bCs/>
                <w:color w:val="auto"/>
                <w:sz w:val="24"/>
                <w:szCs w:val="24"/>
              </w:rPr>
              <w:t>、切实可行</w:t>
            </w:r>
            <w:r>
              <w:rPr>
                <w:rFonts w:hint="eastAsia" w:ascii="Times New Roman" w:hAnsi="Times New Roman" w:eastAsia="仿宋" w:cs="Times New Roman"/>
                <w:bCs/>
                <w:color w:val="auto"/>
                <w:sz w:val="24"/>
                <w:szCs w:val="24"/>
                <w:lang w:eastAsia="zh-CN"/>
              </w:rPr>
              <w:t>。</w:t>
            </w:r>
            <w:r>
              <w:rPr>
                <w:rFonts w:hint="eastAsia" w:ascii="Times New Roman" w:hAnsi="Times New Roman" w:eastAsia="仿宋" w:cs="Times New Roman"/>
                <w:color w:val="auto"/>
                <w:sz w:val="24"/>
                <w:szCs w:val="24"/>
                <w:lang w:eastAsia="zh-CN"/>
              </w:rPr>
              <w:t>（</w:t>
            </w:r>
            <w:r>
              <w:rPr>
                <w:rFonts w:hint="eastAsia" w:ascii="Times New Roman" w:hAnsi="Times New Roman" w:eastAsia="仿宋" w:cs="Times New Roman"/>
                <w:color w:val="auto"/>
                <w:sz w:val="24"/>
                <w:szCs w:val="24"/>
                <w:lang w:val="en-US" w:eastAsia="zh-CN"/>
              </w:rPr>
              <w:t>分值范围：1，2，3，4，5，6）</w:t>
            </w:r>
          </w:p>
        </w:tc>
        <w:tc>
          <w:tcPr>
            <w:tcW w:w="1086" w:type="dxa"/>
            <w:noWrap w:val="0"/>
            <w:vAlign w:val="center"/>
          </w:tcPr>
          <w:p w14:paraId="366B9F8D">
            <w:pPr>
              <w:keepNext w:val="0"/>
              <w:keepLines w:val="0"/>
              <w:pageBreakBefore w:val="0"/>
              <w:numPr>
                <w:ilvl w:val="0"/>
                <w:numId w:val="0"/>
              </w:numPr>
              <w:suppressLineNumbers w:val="0"/>
              <w:kinsoku/>
              <w:wordWrap/>
              <w:overflowPunct/>
              <w:topLinePunct w:val="0"/>
              <w:bidi w:val="0"/>
              <w:snapToGrid w:val="0"/>
              <w:spacing w:before="0" w:beforeAutospacing="0" w:after="0" w:afterAutospacing="0" w:line="440" w:lineRule="exact"/>
              <w:ind w:left="0" w:leftChars="0" w:right="0" w:firstLine="0" w:firstLineChars="0"/>
              <w:jc w:val="center"/>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6</w:t>
            </w:r>
          </w:p>
        </w:tc>
      </w:tr>
      <w:tr w14:paraId="4C2E1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6" w:hRule="atLeast"/>
          <w:jc w:val="center"/>
        </w:trPr>
        <w:tc>
          <w:tcPr>
            <w:tcW w:w="555" w:type="dxa"/>
            <w:noWrap w:val="0"/>
            <w:vAlign w:val="center"/>
          </w:tcPr>
          <w:p w14:paraId="33F994F7">
            <w:pPr>
              <w:keepNext w:val="0"/>
              <w:keepLines w:val="0"/>
              <w:suppressLineNumbers w:val="0"/>
              <w:bidi w:val="0"/>
              <w:spacing w:before="0" w:beforeAutospacing="0" w:after="0" w:afterAutospacing="0"/>
              <w:ind w:left="0" w:right="0"/>
              <w:jc w:val="both"/>
              <w:rPr>
                <w:rFonts w:hint="default"/>
                <w:lang w:val="en-US" w:eastAsia="zh-CN"/>
              </w:rPr>
            </w:pPr>
          </w:p>
          <w:p w14:paraId="214985FB">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9</w:t>
            </w:r>
          </w:p>
        </w:tc>
        <w:tc>
          <w:tcPr>
            <w:tcW w:w="1327" w:type="dxa"/>
            <w:noWrap w:val="0"/>
            <w:vAlign w:val="center"/>
          </w:tcPr>
          <w:p w14:paraId="6967E7BA">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left"/>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rPr>
              <w:t>项目业绩</w:t>
            </w:r>
          </w:p>
        </w:tc>
        <w:tc>
          <w:tcPr>
            <w:tcW w:w="6090" w:type="dxa"/>
            <w:noWrap w:val="0"/>
            <w:vAlign w:val="center"/>
          </w:tcPr>
          <w:p w14:paraId="7B5899FD">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w:t>
            </w:r>
            <w:r>
              <w:rPr>
                <w:rFonts w:hint="eastAsia"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投标人20</w:t>
            </w:r>
            <w:r>
              <w:rPr>
                <w:rFonts w:hint="eastAsia" w:ascii="Times New Roman" w:hAnsi="Times New Roman" w:eastAsia="仿宋" w:cs="Times New Roman"/>
                <w:color w:val="auto"/>
                <w:sz w:val="24"/>
                <w:szCs w:val="24"/>
                <w:highlight w:val="none"/>
                <w:lang w:val="en-US" w:eastAsia="zh-CN"/>
              </w:rPr>
              <w:t>23</w:t>
            </w:r>
            <w:r>
              <w:rPr>
                <w:rFonts w:hint="default" w:ascii="Times New Roman" w:hAnsi="Times New Roman" w:eastAsia="仿宋" w:cs="Times New Roman"/>
                <w:color w:val="auto"/>
                <w:sz w:val="24"/>
                <w:szCs w:val="24"/>
                <w:highlight w:val="none"/>
              </w:rPr>
              <w:t>年至今承接过35kV及以上变电站总承包业务的，一项得</w:t>
            </w:r>
            <w:r>
              <w:rPr>
                <w:rFonts w:hint="default"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rPr>
              <w:t>分，最多得</w:t>
            </w:r>
            <w:r>
              <w:rPr>
                <w:rFonts w:hint="default"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rPr>
              <w:t>分。（须提供合同复印件）</w:t>
            </w:r>
          </w:p>
          <w:p w14:paraId="2AF6815D">
            <w:pPr>
              <w:pStyle w:val="40"/>
              <w:keepNext w:val="0"/>
              <w:keepLines w:val="0"/>
              <w:pageBreakBefore w:val="0"/>
              <w:suppressLineNumbers w:val="0"/>
              <w:kinsoku/>
              <w:wordWrap/>
              <w:overflowPunct/>
              <w:topLinePunct w:val="0"/>
              <w:bidi w:val="0"/>
              <w:spacing w:before="0" w:beforeAutospacing="0" w:after="0" w:afterAutospacing="0" w:line="440" w:lineRule="exact"/>
              <w:ind w:left="0" w:right="0"/>
              <w:rPr>
                <w:rFonts w:hint="default" w:ascii="Times New Roman" w:hAnsi="Times New Roman" w:eastAsia="仿宋" w:cs="Times New Roman"/>
                <w:color w:val="auto"/>
                <w:sz w:val="24"/>
                <w:szCs w:val="24"/>
                <w:highlight w:val="none"/>
                <w:vertAlign w:val="baseline"/>
                <w:lang w:val="en-US" w:eastAsia="zh-CN"/>
              </w:rPr>
            </w:pPr>
            <w:r>
              <w:rPr>
                <w:rFonts w:hint="default" w:ascii="Times New Roman" w:hAnsi="Times New Roman" w:eastAsia="仿宋" w:cs="Times New Roman"/>
                <w:color w:val="auto"/>
                <w:sz w:val="24"/>
                <w:szCs w:val="24"/>
                <w:highlight w:val="none"/>
              </w:rPr>
              <w:t>2</w:t>
            </w:r>
            <w:r>
              <w:rPr>
                <w:rFonts w:hint="eastAsia"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投标人20</w:t>
            </w:r>
            <w:r>
              <w:rPr>
                <w:rFonts w:hint="eastAsia" w:eastAsia="仿宋" w:cs="Times New Roman"/>
                <w:color w:val="auto"/>
                <w:sz w:val="24"/>
                <w:szCs w:val="24"/>
                <w:highlight w:val="none"/>
                <w:lang w:val="en-US" w:eastAsia="zh-CN"/>
              </w:rPr>
              <w:t>23</w:t>
            </w:r>
            <w:r>
              <w:rPr>
                <w:rFonts w:hint="default" w:ascii="Times New Roman" w:hAnsi="Times New Roman" w:eastAsia="仿宋" w:cs="Times New Roman"/>
                <w:color w:val="auto"/>
                <w:sz w:val="24"/>
                <w:szCs w:val="24"/>
                <w:highlight w:val="none"/>
              </w:rPr>
              <w:t>年至今承接过10kV</w:t>
            </w:r>
            <w:r>
              <w:rPr>
                <w:rFonts w:hint="eastAsia" w:ascii="Times New Roman" w:hAnsi="Times New Roman" w:eastAsia="仿宋" w:cs="Times New Roman"/>
                <w:color w:val="auto"/>
                <w:sz w:val="24"/>
                <w:szCs w:val="24"/>
                <w:highlight w:val="none"/>
                <w:lang w:eastAsia="zh-CN"/>
              </w:rPr>
              <w:t>及以下</w:t>
            </w:r>
            <w:r>
              <w:rPr>
                <w:rFonts w:hint="default" w:ascii="Times New Roman" w:hAnsi="Times New Roman" w:eastAsia="仿宋" w:cs="Times New Roman"/>
                <w:color w:val="auto"/>
                <w:sz w:val="24"/>
                <w:szCs w:val="24"/>
                <w:highlight w:val="none"/>
              </w:rPr>
              <w:t>变电站总承包业务的，一项得</w:t>
            </w:r>
            <w:r>
              <w:rPr>
                <w:rFonts w:hint="default" w:ascii="Times New Roman" w:hAnsi="Times New Roman" w:eastAsia="仿宋" w:cs="Times New Roman"/>
                <w:color w:val="auto"/>
                <w:sz w:val="24"/>
                <w:szCs w:val="24"/>
                <w:highlight w:val="none"/>
                <w:lang w:val="en-US" w:eastAsia="zh-CN"/>
              </w:rPr>
              <w:t>0.5</w:t>
            </w:r>
            <w:r>
              <w:rPr>
                <w:rFonts w:hint="default" w:ascii="Times New Roman" w:hAnsi="Times New Roman" w:eastAsia="仿宋" w:cs="Times New Roman"/>
                <w:color w:val="auto"/>
                <w:sz w:val="24"/>
                <w:szCs w:val="24"/>
                <w:highlight w:val="none"/>
              </w:rPr>
              <w:t>分，最多得</w:t>
            </w:r>
            <w:r>
              <w:rPr>
                <w:rFonts w:hint="default"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rPr>
              <w:t>分。（须提供合同复印件）</w:t>
            </w:r>
          </w:p>
        </w:tc>
        <w:tc>
          <w:tcPr>
            <w:tcW w:w="1086" w:type="dxa"/>
            <w:noWrap w:val="0"/>
            <w:vAlign w:val="center"/>
          </w:tcPr>
          <w:p w14:paraId="166DCD01">
            <w:pPr>
              <w:pStyle w:val="40"/>
              <w:keepNext w:val="0"/>
              <w:keepLines w:val="0"/>
              <w:pageBreakBefore w:val="0"/>
              <w:suppressLineNumbers w:val="0"/>
              <w:kinsoku/>
              <w:wordWrap/>
              <w:overflowPunct/>
              <w:topLinePunct w:val="0"/>
              <w:bidi w:val="0"/>
              <w:spacing w:before="0" w:beforeAutospacing="0" w:after="0" w:afterAutospacing="0" w:line="440" w:lineRule="exact"/>
              <w:ind w:left="0" w:right="0"/>
              <w:jc w:val="center"/>
              <w:rPr>
                <w:rFonts w:hint="default" w:ascii="Times New Roman" w:hAnsi="Times New Roman" w:eastAsia="仿宋" w:cs="Times New Roman"/>
                <w:color w:val="auto"/>
                <w:sz w:val="24"/>
                <w:szCs w:val="24"/>
                <w:lang w:val="en-US" w:eastAsia="zh-CN"/>
              </w:rPr>
            </w:pPr>
            <w:r>
              <w:rPr>
                <w:rFonts w:hint="eastAsia" w:eastAsia="仿宋" w:cs="Times New Roman"/>
                <w:color w:val="auto"/>
                <w:sz w:val="24"/>
                <w:szCs w:val="24"/>
                <w:lang w:val="en-US" w:eastAsia="zh-CN"/>
              </w:rPr>
              <w:t>3</w:t>
            </w:r>
          </w:p>
        </w:tc>
      </w:tr>
      <w:tr w14:paraId="24648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6" w:hRule="atLeast"/>
          <w:jc w:val="center"/>
        </w:trPr>
        <w:tc>
          <w:tcPr>
            <w:tcW w:w="555" w:type="dxa"/>
            <w:noWrap w:val="0"/>
            <w:vAlign w:val="center"/>
          </w:tcPr>
          <w:p w14:paraId="26DBC560">
            <w:pPr>
              <w:keepNext w:val="0"/>
              <w:keepLines w:val="0"/>
              <w:suppressLineNumbers w:val="0"/>
              <w:bidi w:val="0"/>
              <w:spacing w:before="0" w:beforeAutospacing="0" w:after="0" w:afterAutospacing="0"/>
              <w:ind w:left="0" w:right="0"/>
              <w:jc w:val="both"/>
              <w:rPr>
                <w:rFonts w:hint="default"/>
                <w:lang w:val="en-US" w:eastAsia="zh-CN"/>
              </w:rPr>
            </w:pPr>
          </w:p>
          <w:p w14:paraId="01C39730">
            <w:pPr>
              <w:keepNext w:val="0"/>
              <w:keepLines w:val="0"/>
              <w:suppressLineNumbers w:val="0"/>
              <w:bidi w:val="0"/>
              <w:spacing w:before="0" w:beforeAutospacing="0" w:after="0" w:afterAutospacing="0"/>
              <w:ind w:left="0" w:right="0"/>
              <w:jc w:val="center"/>
              <w:rPr>
                <w:rFonts w:hint="default"/>
                <w:lang w:val="en-US" w:eastAsia="zh-CN"/>
              </w:rPr>
            </w:pPr>
            <w:r>
              <w:rPr>
                <w:rFonts w:hint="eastAsia"/>
                <w:lang w:val="en-US" w:eastAsia="zh-CN"/>
              </w:rPr>
              <w:t>10</w:t>
            </w:r>
          </w:p>
        </w:tc>
        <w:tc>
          <w:tcPr>
            <w:tcW w:w="1327" w:type="dxa"/>
            <w:noWrap w:val="0"/>
            <w:vAlign w:val="center"/>
          </w:tcPr>
          <w:p w14:paraId="06B4F8CC">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left"/>
              <w:rPr>
                <w:rFonts w:hint="default" w:ascii="Times New Roman" w:hAnsi="Times New Roman" w:eastAsia="仿宋" w:cs="Times New Roman"/>
                <w:color w:val="auto"/>
                <w:sz w:val="24"/>
                <w:vertAlign w:val="baseline"/>
                <w:lang w:val="en-US" w:eastAsia="zh-CN"/>
              </w:rPr>
            </w:pPr>
            <w:r>
              <w:rPr>
                <w:rFonts w:hint="default" w:ascii="Times New Roman" w:hAnsi="Times New Roman" w:eastAsia="仿宋" w:cs="Times New Roman"/>
                <w:color w:val="auto"/>
                <w:sz w:val="24"/>
                <w:szCs w:val="24"/>
              </w:rPr>
              <w:t>运维业绩</w:t>
            </w:r>
          </w:p>
        </w:tc>
        <w:tc>
          <w:tcPr>
            <w:tcW w:w="6090" w:type="dxa"/>
            <w:noWrap w:val="0"/>
            <w:vAlign w:val="center"/>
          </w:tcPr>
          <w:p w14:paraId="3A5DCBF0">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w:t>
            </w:r>
            <w:r>
              <w:rPr>
                <w:rFonts w:hint="eastAsia"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投标人20</w:t>
            </w:r>
            <w:r>
              <w:rPr>
                <w:rFonts w:hint="eastAsia" w:ascii="Times New Roman" w:hAnsi="Times New Roman" w:eastAsia="仿宋" w:cs="Times New Roman"/>
                <w:color w:val="auto"/>
                <w:sz w:val="24"/>
                <w:szCs w:val="24"/>
                <w:highlight w:val="none"/>
                <w:lang w:val="en-US" w:eastAsia="zh-CN"/>
              </w:rPr>
              <w:t>23</w:t>
            </w:r>
            <w:r>
              <w:rPr>
                <w:rFonts w:hint="default" w:ascii="Times New Roman" w:hAnsi="Times New Roman" w:eastAsia="仿宋" w:cs="Times New Roman"/>
                <w:color w:val="auto"/>
                <w:sz w:val="24"/>
                <w:szCs w:val="24"/>
                <w:highlight w:val="none"/>
              </w:rPr>
              <w:t>年至今承接过35kV及以上变电站运行维护业务的，一项得</w:t>
            </w:r>
            <w:r>
              <w:rPr>
                <w:rFonts w:hint="default"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rPr>
              <w:t>分，最多得</w:t>
            </w:r>
            <w:r>
              <w:rPr>
                <w:rFonts w:hint="default"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rPr>
              <w:t>分。（须提供合同复印件）</w:t>
            </w:r>
          </w:p>
          <w:p w14:paraId="6DF7DC4C">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rPr>
                <w:rFonts w:hint="default" w:ascii="Times New Roman" w:hAnsi="Times New Roman" w:eastAsia="仿宋" w:cs="Times New Roman"/>
                <w:color w:val="auto"/>
                <w:sz w:val="24"/>
                <w:highlight w:val="none"/>
                <w:vertAlign w:val="baseline"/>
                <w:lang w:val="en-US" w:eastAsia="zh-CN"/>
              </w:rPr>
            </w:pPr>
            <w:r>
              <w:rPr>
                <w:rFonts w:hint="default" w:ascii="Times New Roman" w:hAnsi="Times New Roman" w:eastAsia="仿宋" w:cs="Times New Roman"/>
                <w:color w:val="auto"/>
                <w:sz w:val="24"/>
                <w:szCs w:val="24"/>
                <w:highlight w:val="none"/>
              </w:rPr>
              <w:t>2</w:t>
            </w:r>
            <w:r>
              <w:rPr>
                <w:rFonts w:hint="eastAsia"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投标人20</w:t>
            </w:r>
            <w:r>
              <w:rPr>
                <w:rFonts w:hint="eastAsia" w:ascii="Times New Roman" w:hAnsi="Times New Roman" w:eastAsia="仿宋" w:cs="Times New Roman"/>
                <w:color w:val="auto"/>
                <w:sz w:val="24"/>
                <w:szCs w:val="24"/>
                <w:highlight w:val="none"/>
                <w:lang w:val="en-US" w:eastAsia="zh-CN"/>
              </w:rPr>
              <w:t>23</w:t>
            </w:r>
            <w:r>
              <w:rPr>
                <w:rFonts w:hint="default" w:ascii="Times New Roman" w:hAnsi="Times New Roman" w:eastAsia="仿宋" w:cs="Times New Roman"/>
                <w:color w:val="auto"/>
                <w:sz w:val="24"/>
                <w:szCs w:val="24"/>
                <w:highlight w:val="none"/>
              </w:rPr>
              <w:t>年至今承接过10kV</w:t>
            </w:r>
            <w:r>
              <w:rPr>
                <w:rFonts w:hint="eastAsia" w:ascii="Times New Roman" w:hAnsi="Times New Roman" w:eastAsia="仿宋" w:cs="Times New Roman"/>
                <w:color w:val="auto"/>
                <w:sz w:val="24"/>
                <w:szCs w:val="24"/>
                <w:highlight w:val="none"/>
                <w:lang w:eastAsia="zh-CN"/>
              </w:rPr>
              <w:t>及以下</w:t>
            </w:r>
            <w:r>
              <w:rPr>
                <w:rFonts w:hint="default" w:ascii="Times New Roman" w:hAnsi="Times New Roman" w:eastAsia="仿宋" w:cs="Times New Roman"/>
                <w:color w:val="auto"/>
                <w:sz w:val="24"/>
                <w:szCs w:val="24"/>
                <w:highlight w:val="none"/>
              </w:rPr>
              <w:t>变电站运行维护业务的，一项得</w:t>
            </w:r>
            <w:r>
              <w:rPr>
                <w:rFonts w:hint="default" w:ascii="Times New Roman" w:hAnsi="Times New Roman" w:eastAsia="仿宋" w:cs="Times New Roman"/>
                <w:color w:val="auto"/>
                <w:sz w:val="24"/>
                <w:szCs w:val="24"/>
                <w:highlight w:val="none"/>
                <w:lang w:val="en-US" w:eastAsia="zh-CN"/>
              </w:rPr>
              <w:t>0.5</w:t>
            </w:r>
            <w:r>
              <w:rPr>
                <w:rFonts w:hint="default" w:ascii="Times New Roman" w:hAnsi="Times New Roman" w:eastAsia="仿宋" w:cs="Times New Roman"/>
                <w:color w:val="auto"/>
                <w:sz w:val="24"/>
                <w:szCs w:val="24"/>
                <w:highlight w:val="none"/>
              </w:rPr>
              <w:t>分，最多得</w:t>
            </w:r>
            <w:r>
              <w:rPr>
                <w:rFonts w:hint="default" w:ascii="Times New Roman" w:hAnsi="Times New Roman" w:eastAsia="仿宋" w:cs="Times New Roman"/>
                <w:color w:val="auto"/>
                <w:sz w:val="24"/>
                <w:szCs w:val="24"/>
                <w:highlight w:val="none"/>
                <w:lang w:val="en-US" w:eastAsia="zh-CN"/>
              </w:rPr>
              <w:t>1</w:t>
            </w:r>
            <w:r>
              <w:rPr>
                <w:rFonts w:hint="default" w:ascii="Times New Roman" w:hAnsi="Times New Roman" w:eastAsia="仿宋" w:cs="Times New Roman"/>
                <w:color w:val="auto"/>
                <w:sz w:val="24"/>
                <w:szCs w:val="24"/>
                <w:highlight w:val="none"/>
              </w:rPr>
              <w:t>分。（须提供合同复印件）</w:t>
            </w:r>
          </w:p>
        </w:tc>
        <w:tc>
          <w:tcPr>
            <w:tcW w:w="1086" w:type="dxa"/>
            <w:noWrap w:val="0"/>
            <w:vAlign w:val="center"/>
          </w:tcPr>
          <w:p w14:paraId="4F277ACC">
            <w:pPr>
              <w:keepNext w:val="0"/>
              <w:keepLines w:val="0"/>
              <w:pageBreakBefore w:val="0"/>
              <w:suppressLineNumbers w:val="0"/>
              <w:kinsoku/>
              <w:wordWrap/>
              <w:overflowPunct/>
              <w:topLinePunct w:val="0"/>
              <w:bidi w:val="0"/>
              <w:snapToGrid w:val="0"/>
              <w:spacing w:before="0" w:beforeAutospacing="0" w:after="0" w:afterAutospacing="0" w:line="440" w:lineRule="exact"/>
              <w:ind w:left="0" w:right="0"/>
              <w:jc w:val="center"/>
              <w:rPr>
                <w:rFonts w:hint="eastAsia"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3</w:t>
            </w:r>
          </w:p>
        </w:tc>
      </w:tr>
    </w:tbl>
    <w:p w14:paraId="7BE55B5A">
      <w:pPr>
        <w:pStyle w:val="4"/>
        <w:jc w:val="both"/>
        <w:rPr>
          <w:highlight w:val="none"/>
        </w:rPr>
      </w:pPr>
    </w:p>
    <w:p w14:paraId="7A05708C">
      <w:pPr>
        <w:rPr>
          <w:rFonts w:hint="eastAsia" w:ascii="仿宋" w:hAnsi="仿宋" w:eastAsia="仿宋" w:cs="仿宋"/>
          <w:sz w:val="28"/>
          <w:szCs w:val="28"/>
          <w:highlight w:val="none"/>
        </w:rPr>
      </w:pPr>
      <w:r>
        <w:rPr>
          <w:rFonts w:hint="eastAsia" w:ascii="仿宋" w:hAnsi="仿宋" w:eastAsia="仿宋" w:cs="仿宋"/>
          <w:sz w:val="28"/>
          <w:szCs w:val="28"/>
          <w:highlight w:val="none"/>
        </w:rPr>
        <w:br w:type="page"/>
      </w:r>
    </w:p>
    <w:p w14:paraId="69830CF6">
      <w:pPr>
        <w:pStyle w:val="5"/>
        <w:rPr>
          <w:rFonts w:hint="eastAsia"/>
        </w:rPr>
        <w:sectPr>
          <w:headerReference r:id="rId4" w:type="default"/>
          <w:footerReference r:id="rId5" w:type="default"/>
          <w:pgSz w:w="11906" w:h="16838"/>
          <w:pgMar w:top="1134" w:right="1531" w:bottom="992" w:left="1531" w:header="851" w:footer="992" w:gutter="0"/>
          <w:cols w:space="0" w:num="1"/>
          <w:docGrid w:type="lines" w:linePitch="312" w:charSpace="0"/>
        </w:sectPr>
      </w:pPr>
    </w:p>
    <w:p w14:paraId="59620F30">
      <w:pPr>
        <w:pStyle w:val="5"/>
        <w:jc w:val="center"/>
      </w:pPr>
      <w:r>
        <w:rPr>
          <w:rFonts w:hint="eastAsia"/>
          <w:lang w:val="en-US" w:eastAsia="zh-CN"/>
        </w:rPr>
        <w:t xml:space="preserve">附件1 </w:t>
      </w:r>
      <w:r>
        <w:rPr>
          <w:rFonts w:hint="eastAsia"/>
        </w:rPr>
        <w:t>湖州</w:t>
      </w:r>
      <w:r>
        <w:t>学院运维设备评分标准</w:t>
      </w:r>
    </w:p>
    <w:tbl>
      <w:tblPr>
        <w:tblStyle w:val="17"/>
        <w:tblW w:w="15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472"/>
        <w:gridCol w:w="2268"/>
        <w:gridCol w:w="6641"/>
        <w:gridCol w:w="1243"/>
        <w:gridCol w:w="1134"/>
        <w:gridCol w:w="978"/>
      </w:tblGrid>
      <w:tr w14:paraId="28EE6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Align w:val="center"/>
          </w:tcPr>
          <w:p w14:paraId="21ED8CAA">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序号</w:t>
            </w:r>
          </w:p>
        </w:tc>
        <w:tc>
          <w:tcPr>
            <w:tcW w:w="1472" w:type="dxa"/>
          </w:tcPr>
          <w:p w14:paraId="313A22A3">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考核范围</w:t>
            </w:r>
          </w:p>
        </w:tc>
        <w:tc>
          <w:tcPr>
            <w:tcW w:w="2268" w:type="dxa"/>
            <w:vAlign w:val="center"/>
          </w:tcPr>
          <w:p w14:paraId="1E4F88A1">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设备</w:t>
            </w:r>
          </w:p>
        </w:tc>
        <w:tc>
          <w:tcPr>
            <w:tcW w:w="6641" w:type="dxa"/>
            <w:vAlign w:val="center"/>
          </w:tcPr>
          <w:p w14:paraId="6C3951EA">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检查标准</w:t>
            </w:r>
          </w:p>
        </w:tc>
        <w:tc>
          <w:tcPr>
            <w:tcW w:w="1243" w:type="dxa"/>
            <w:vAlign w:val="center"/>
          </w:tcPr>
          <w:p w14:paraId="6E087E82">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评分标准</w:t>
            </w:r>
          </w:p>
        </w:tc>
        <w:tc>
          <w:tcPr>
            <w:tcW w:w="1134" w:type="dxa"/>
            <w:vAlign w:val="center"/>
          </w:tcPr>
          <w:p w14:paraId="56EA2ED8">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得分</w:t>
            </w:r>
          </w:p>
        </w:tc>
        <w:tc>
          <w:tcPr>
            <w:tcW w:w="978" w:type="dxa"/>
            <w:vAlign w:val="center"/>
          </w:tcPr>
          <w:p w14:paraId="71140AC7">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备注</w:t>
            </w:r>
          </w:p>
        </w:tc>
      </w:tr>
      <w:tr w14:paraId="58D45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Align w:val="center"/>
          </w:tcPr>
          <w:p w14:paraId="5DE12A80">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w:t>
            </w:r>
          </w:p>
        </w:tc>
        <w:tc>
          <w:tcPr>
            <w:tcW w:w="1472" w:type="dxa"/>
            <w:vMerge w:val="restart"/>
            <w:vAlign w:val="center"/>
          </w:tcPr>
          <w:p w14:paraId="222867F0">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10KV变电站运维设备情况</w:t>
            </w:r>
          </w:p>
        </w:tc>
        <w:tc>
          <w:tcPr>
            <w:tcW w:w="2268" w:type="dxa"/>
            <w:vAlign w:val="center"/>
          </w:tcPr>
          <w:p w14:paraId="03282A33">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干式变压器</w:t>
            </w:r>
          </w:p>
        </w:tc>
        <w:tc>
          <w:tcPr>
            <w:tcW w:w="6641" w:type="dxa"/>
          </w:tcPr>
          <w:p w14:paraId="36E788FF">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温度,无异常声音,瓷质部分完整无放电,引线接头无过热</w:t>
            </w:r>
          </w:p>
        </w:tc>
        <w:tc>
          <w:tcPr>
            <w:tcW w:w="1243" w:type="dxa"/>
            <w:vAlign w:val="center"/>
          </w:tcPr>
          <w:p w14:paraId="6B7F6764">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10分</w:t>
            </w:r>
          </w:p>
        </w:tc>
        <w:tc>
          <w:tcPr>
            <w:tcW w:w="1134" w:type="dxa"/>
            <w:vAlign w:val="center"/>
          </w:tcPr>
          <w:p w14:paraId="11AE667C">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978" w:type="dxa"/>
            <w:vAlign w:val="center"/>
          </w:tcPr>
          <w:p w14:paraId="6A9E5FF6">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r>
      <w:tr w14:paraId="593EC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Align w:val="center"/>
          </w:tcPr>
          <w:p w14:paraId="64A9884E">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w:t>
            </w:r>
          </w:p>
        </w:tc>
        <w:tc>
          <w:tcPr>
            <w:tcW w:w="1472" w:type="dxa"/>
            <w:vMerge w:val="continue"/>
          </w:tcPr>
          <w:p w14:paraId="56DF15C4">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tc>
        <w:tc>
          <w:tcPr>
            <w:tcW w:w="2268" w:type="dxa"/>
            <w:vAlign w:val="center"/>
          </w:tcPr>
          <w:p w14:paraId="4752DC97">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电流互感器</w:t>
            </w:r>
          </w:p>
        </w:tc>
        <w:tc>
          <w:tcPr>
            <w:tcW w:w="6641" w:type="dxa"/>
          </w:tcPr>
          <w:p w14:paraId="50E56545">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引线接头无过热,外壳接地,油位、有无漏油,无异常声音</w:t>
            </w:r>
          </w:p>
        </w:tc>
        <w:tc>
          <w:tcPr>
            <w:tcW w:w="1243" w:type="dxa"/>
            <w:vAlign w:val="center"/>
          </w:tcPr>
          <w:p w14:paraId="0B6AEECC">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10分</w:t>
            </w:r>
          </w:p>
        </w:tc>
        <w:tc>
          <w:tcPr>
            <w:tcW w:w="1134" w:type="dxa"/>
            <w:vAlign w:val="center"/>
          </w:tcPr>
          <w:p w14:paraId="2057BCB6">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978" w:type="dxa"/>
            <w:vAlign w:val="center"/>
          </w:tcPr>
          <w:p w14:paraId="60EF5939">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r>
      <w:tr w14:paraId="4EC0D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Align w:val="center"/>
          </w:tcPr>
          <w:p w14:paraId="588BC892">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w:t>
            </w:r>
          </w:p>
        </w:tc>
        <w:tc>
          <w:tcPr>
            <w:tcW w:w="1472" w:type="dxa"/>
            <w:vMerge w:val="continue"/>
          </w:tcPr>
          <w:p w14:paraId="059A6CB3">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tc>
        <w:tc>
          <w:tcPr>
            <w:tcW w:w="2268" w:type="dxa"/>
            <w:vAlign w:val="center"/>
          </w:tcPr>
          <w:p w14:paraId="1048B279">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电压互感器</w:t>
            </w:r>
          </w:p>
        </w:tc>
        <w:tc>
          <w:tcPr>
            <w:tcW w:w="6641" w:type="dxa"/>
          </w:tcPr>
          <w:p w14:paraId="4FF37C36">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瓷质部分完整无放电,接地引线良好,有无漏油,无异常声音</w:t>
            </w:r>
          </w:p>
        </w:tc>
        <w:tc>
          <w:tcPr>
            <w:tcW w:w="1243" w:type="dxa"/>
            <w:vAlign w:val="center"/>
          </w:tcPr>
          <w:p w14:paraId="4AF0FC8F">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10分</w:t>
            </w:r>
          </w:p>
        </w:tc>
        <w:tc>
          <w:tcPr>
            <w:tcW w:w="1134" w:type="dxa"/>
            <w:vAlign w:val="center"/>
          </w:tcPr>
          <w:p w14:paraId="1A15C4BB">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978" w:type="dxa"/>
            <w:vAlign w:val="center"/>
          </w:tcPr>
          <w:p w14:paraId="5028F80C">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r>
      <w:tr w14:paraId="263F0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Align w:val="center"/>
          </w:tcPr>
          <w:p w14:paraId="56A335CA">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4</w:t>
            </w:r>
          </w:p>
        </w:tc>
        <w:tc>
          <w:tcPr>
            <w:tcW w:w="1472" w:type="dxa"/>
            <w:vMerge w:val="continue"/>
          </w:tcPr>
          <w:p w14:paraId="4E536371">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tc>
        <w:tc>
          <w:tcPr>
            <w:tcW w:w="2268" w:type="dxa"/>
            <w:vAlign w:val="center"/>
          </w:tcPr>
          <w:p w14:paraId="701AD6D1">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避雷器</w:t>
            </w:r>
          </w:p>
        </w:tc>
        <w:tc>
          <w:tcPr>
            <w:tcW w:w="6641" w:type="dxa"/>
          </w:tcPr>
          <w:p w14:paraId="50AFF7ED">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瓷质部分完整无放电,计数器,泄漏电流,接地是否良好</w:t>
            </w:r>
          </w:p>
        </w:tc>
        <w:tc>
          <w:tcPr>
            <w:tcW w:w="1243" w:type="dxa"/>
            <w:vAlign w:val="center"/>
          </w:tcPr>
          <w:p w14:paraId="09C71D70">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10分</w:t>
            </w:r>
          </w:p>
        </w:tc>
        <w:tc>
          <w:tcPr>
            <w:tcW w:w="1134" w:type="dxa"/>
            <w:vAlign w:val="center"/>
          </w:tcPr>
          <w:p w14:paraId="36C0F91A">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978" w:type="dxa"/>
            <w:vAlign w:val="center"/>
          </w:tcPr>
          <w:p w14:paraId="242122C1">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r>
      <w:tr w14:paraId="03478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Align w:val="center"/>
          </w:tcPr>
          <w:p w14:paraId="5A9AB4C6">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5</w:t>
            </w:r>
          </w:p>
        </w:tc>
        <w:tc>
          <w:tcPr>
            <w:tcW w:w="1472" w:type="dxa"/>
            <w:vMerge w:val="continue"/>
          </w:tcPr>
          <w:p w14:paraId="7C15F993">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tc>
        <w:tc>
          <w:tcPr>
            <w:tcW w:w="2268" w:type="dxa"/>
            <w:vAlign w:val="center"/>
          </w:tcPr>
          <w:p w14:paraId="721480F3">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刀闸</w:t>
            </w:r>
          </w:p>
        </w:tc>
        <w:tc>
          <w:tcPr>
            <w:tcW w:w="6641" w:type="dxa"/>
          </w:tcPr>
          <w:p w14:paraId="17A3D08F">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刀闸接触是否良好,引线接头是否过热,瓷质部分完整无放电</w:t>
            </w:r>
          </w:p>
        </w:tc>
        <w:tc>
          <w:tcPr>
            <w:tcW w:w="1243" w:type="dxa"/>
            <w:vAlign w:val="center"/>
          </w:tcPr>
          <w:p w14:paraId="0284AF2E">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10分</w:t>
            </w:r>
          </w:p>
        </w:tc>
        <w:tc>
          <w:tcPr>
            <w:tcW w:w="1134" w:type="dxa"/>
            <w:vAlign w:val="center"/>
          </w:tcPr>
          <w:p w14:paraId="37413826">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978" w:type="dxa"/>
            <w:vAlign w:val="center"/>
          </w:tcPr>
          <w:p w14:paraId="5C13EBBD">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r>
      <w:tr w14:paraId="5E998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Align w:val="center"/>
          </w:tcPr>
          <w:p w14:paraId="6AC53EE9">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6</w:t>
            </w:r>
          </w:p>
        </w:tc>
        <w:tc>
          <w:tcPr>
            <w:tcW w:w="1472" w:type="dxa"/>
            <w:vMerge w:val="continue"/>
          </w:tcPr>
          <w:p w14:paraId="2C0B6829">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tc>
        <w:tc>
          <w:tcPr>
            <w:tcW w:w="2268" w:type="dxa"/>
            <w:vAlign w:val="center"/>
          </w:tcPr>
          <w:p w14:paraId="4CA7AC82">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导线</w:t>
            </w:r>
          </w:p>
        </w:tc>
        <w:tc>
          <w:tcPr>
            <w:tcW w:w="6641" w:type="dxa"/>
          </w:tcPr>
          <w:p w14:paraId="5791D93B">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无断股,接头无过热</w:t>
            </w:r>
          </w:p>
        </w:tc>
        <w:tc>
          <w:tcPr>
            <w:tcW w:w="1243" w:type="dxa"/>
            <w:vAlign w:val="center"/>
          </w:tcPr>
          <w:p w14:paraId="11479CC1">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10分</w:t>
            </w:r>
          </w:p>
        </w:tc>
        <w:tc>
          <w:tcPr>
            <w:tcW w:w="1134" w:type="dxa"/>
            <w:vAlign w:val="center"/>
          </w:tcPr>
          <w:p w14:paraId="0355564F">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978" w:type="dxa"/>
            <w:vAlign w:val="center"/>
          </w:tcPr>
          <w:p w14:paraId="7BDCBF08">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r>
      <w:tr w14:paraId="38926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Align w:val="center"/>
          </w:tcPr>
          <w:p w14:paraId="42FB919F">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7</w:t>
            </w:r>
          </w:p>
        </w:tc>
        <w:tc>
          <w:tcPr>
            <w:tcW w:w="1472" w:type="dxa"/>
            <w:vMerge w:val="continue"/>
          </w:tcPr>
          <w:p w14:paraId="480E6BE9">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tc>
        <w:tc>
          <w:tcPr>
            <w:tcW w:w="2268" w:type="dxa"/>
            <w:vAlign w:val="center"/>
          </w:tcPr>
          <w:p w14:paraId="6C4E99BE">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10KV开关柜</w:t>
            </w:r>
          </w:p>
        </w:tc>
        <w:tc>
          <w:tcPr>
            <w:tcW w:w="6641" w:type="dxa"/>
          </w:tcPr>
          <w:p w14:paraId="1E6CEE89">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各指示灯指示正确,保护压板位置正确,操作手把位置正确,带电显示灯显示正确,电缆、接头无过热,无放电及异常声音</w:t>
            </w:r>
          </w:p>
        </w:tc>
        <w:tc>
          <w:tcPr>
            <w:tcW w:w="1243" w:type="dxa"/>
            <w:vAlign w:val="center"/>
          </w:tcPr>
          <w:p w14:paraId="5407AF72">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10分</w:t>
            </w:r>
          </w:p>
        </w:tc>
        <w:tc>
          <w:tcPr>
            <w:tcW w:w="1134" w:type="dxa"/>
            <w:vAlign w:val="center"/>
          </w:tcPr>
          <w:p w14:paraId="45E292AA">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978" w:type="dxa"/>
            <w:vAlign w:val="center"/>
          </w:tcPr>
          <w:p w14:paraId="20214CF7">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r>
      <w:tr w14:paraId="65546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Align w:val="center"/>
          </w:tcPr>
          <w:p w14:paraId="63382B46">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8</w:t>
            </w:r>
          </w:p>
        </w:tc>
        <w:tc>
          <w:tcPr>
            <w:tcW w:w="1472" w:type="dxa"/>
            <w:vMerge w:val="continue"/>
          </w:tcPr>
          <w:p w14:paraId="7CE10A92">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tc>
        <w:tc>
          <w:tcPr>
            <w:tcW w:w="2268" w:type="dxa"/>
            <w:vAlign w:val="center"/>
          </w:tcPr>
          <w:p w14:paraId="605F83B0">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防小动物</w:t>
            </w:r>
          </w:p>
        </w:tc>
        <w:tc>
          <w:tcPr>
            <w:tcW w:w="6641" w:type="dxa"/>
          </w:tcPr>
          <w:p w14:paraId="4B4BF27E">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防鼠板齐全有效,孔洞封堵严密</w:t>
            </w:r>
          </w:p>
        </w:tc>
        <w:tc>
          <w:tcPr>
            <w:tcW w:w="1243" w:type="dxa"/>
            <w:vAlign w:val="center"/>
          </w:tcPr>
          <w:p w14:paraId="3BA2B9C5">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5分</w:t>
            </w:r>
          </w:p>
        </w:tc>
        <w:tc>
          <w:tcPr>
            <w:tcW w:w="1134" w:type="dxa"/>
            <w:vAlign w:val="center"/>
          </w:tcPr>
          <w:p w14:paraId="6CBD86EA">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978" w:type="dxa"/>
            <w:vAlign w:val="center"/>
          </w:tcPr>
          <w:p w14:paraId="3DEDC2BB">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r>
      <w:tr w14:paraId="49095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Align w:val="center"/>
          </w:tcPr>
          <w:p w14:paraId="71E7BCDF">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9</w:t>
            </w:r>
          </w:p>
        </w:tc>
        <w:tc>
          <w:tcPr>
            <w:tcW w:w="1472" w:type="dxa"/>
            <w:vMerge w:val="continue"/>
          </w:tcPr>
          <w:p w14:paraId="6245B4F7">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tc>
        <w:tc>
          <w:tcPr>
            <w:tcW w:w="2268" w:type="dxa"/>
            <w:vAlign w:val="center"/>
          </w:tcPr>
          <w:p w14:paraId="273C4E9C">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直流屏</w:t>
            </w:r>
          </w:p>
        </w:tc>
        <w:tc>
          <w:tcPr>
            <w:tcW w:w="6641" w:type="dxa"/>
          </w:tcPr>
          <w:p w14:paraId="4FA07935">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母线电压正常,浮充电流正常,电池单瓶电压正常,蓄电池完整无漏液</w:t>
            </w:r>
          </w:p>
        </w:tc>
        <w:tc>
          <w:tcPr>
            <w:tcW w:w="1243" w:type="dxa"/>
            <w:vAlign w:val="center"/>
          </w:tcPr>
          <w:p w14:paraId="5A56CB7B">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10分</w:t>
            </w:r>
          </w:p>
        </w:tc>
        <w:tc>
          <w:tcPr>
            <w:tcW w:w="1134" w:type="dxa"/>
            <w:vAlign w:val="center"/>
          </w:tcPr>
          <w:p w14:paraId="4EC916BC">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978" w:type="dxa"/>
            <w:vAlign w:val="center"/>
          </w:tcPr>
          <w:p w14:paraId="1379F71A">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r>
      <w:tr w14:paraId="44C99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Align w:val="center"/>
          </w:tcPr>
          <w:p w14:paraId="06F0AA62">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w:t>
            </w:r>
          </w:p>
        </w:tc>
        <w:tc>
          <w:tcPr>
            <w:tcW w:w="1472" w:type="dxa"/>
            <w:vMerge w:val="continue"/>
          </w:tcPr>
          <w:p w14:paraId="59C52500">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tc>
        <w:tc>
          <w:tcPr>
            <w:tcW w:w="2268" w:type="dxa"/>
            <w:vAlign w:val="center"/>
          </w:tcPr>
          <w:p w14:paraId="7B296210">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防火</w:t>
            </w:r>
          </w:p>
        </w:tc>
        <w:tc>
          <w:tcPr>
            <w:tcW w:w="6641" w:type="dxa"/>
          </w:tcPr>
          <w:p w14:paraId="7DA403AF">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防火设施齐全</w:t>
            </w:r>
          </w:p>
        </w:tc>
        <w:tc>
          <w:tcPr>
            <w:tcW w:w="1243" w:type="dxa"/>
            <w:vAlign w:val="center"/>
          </w:tcPr>
          <w:p w14:paraId="182E44CA">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5分</w:t>
            </w:r>
          </w:p>
        </w:tc>
        <w:tc>
          <w:tcPr>
            <w:tcW w:w="1134" w:type="dxa"/>
            <w:vAlign w:val="center"/>
          </w:tcPr>
          <w:p w14:paraId="4211C8BB">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978" w:type="dxa"/>
            <w:vAlign w:val="center"/>
          </w:tcPr>
          <w:p w14:paraId="3F4E957C">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r>
      <w:tr w14:paraId="0406B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Align w:val="center"/>
          </w:tcPr>
          <w:p w14:paraId="03CA0755">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11</w:t>
            </w:r>
          </w:p>
        </w:tc>
        <w:tc>
          <w:tcPr>
            <w:tcW w:w="1472" w:type="dxa"/>
            <w:vMerge w:val="continue"/>
          </w:tcPr>
          <w:p w14:paraId="7887E792">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p>
        </w:tc>
        <w:tc>
          <w:tcPr>
            <w:tcW w:w="2268" w:type="dxa"/>
            <w:vAlign w:val="center"/>
          </w:tcPr>
          <w:p w14:paraId="10CBC5E0">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开关室</w:t>
            </w:r>
          </w:p>
        </w:tc>
        <w:tc>
          <w:tcPr>
            <w:tcW w:w="6641" w:type="dxa"/>
          </w:tcPr>
          <w:p w14:paraId="7472E356">
            <w:pPr>
              <w:keepNext w:val="0"/>
              <w:keepLines w:val="0"/>
              <w:suppressLineNumbers w:val="0"/>
              <w:adjustRightInd w:val="0"/>
              <w:snapToGrid w:val="0"/>
              <w:spacing w:before="156" w:beforeLines="50" w:beforeAutospacing="0" w:after="0" w:afterAutospacing="0"/>
              <w:ind w:left="0" w:right="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避雷、接地装置良好,照明充足,屋顶不漏雨,门窗关闭严密</w:t>
            </w:r>
          </w:p>
        </w:tc>
        <w:tc>
          <w:tcPr>
            <w:tcW w:w="1243" w:type="dxa"/>
            <w:vAlign w:val="center"/>
          </w:tcPr>
          <w:p w14:paraId="76884696">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10分</w:t>
            </w:r>
          </w:p>
        </w:tc>
        <w:tc>
          <w:tcPr>
            <w:tcW w:w="1134" w:type="dxa"/>
            <w:vAlign w:val="center"/>
          </w:tcPr>
          <w:p w14:paraId="6508DB81">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978" w:type="dxa"/>
            <w:vAlign w:val="center"/>
          </w:tcPr>
          <w:p w14:paraId="1FD9DD2D">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r>
      <w:tr w14:paraId="5A6A4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vAlign w:val="center"/>
          </w:tcPr>
          <w:p w14:paraId="11AA1D49">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1472" w:type="dxa"/>
          </w:tcPr>
          <w:p w14:paraId="46322547">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合计</w:t>
            </w:r>
          </w:p>
        </w:tc>
        <w:tc>
          <w:tcPr>
            <w:tcW w:w="2268" w:type="dxa"/>
            <w:vAlign w:val="center"/>
          </w:tcPr>
          <w:p w14:paraId="0CCCF1A2">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6641" w:type="dxa"/>
            <w:vAlign w:val="center"/>
          </w:tcPr>
          <w:p w14:paraId="2D5E895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1243" w:type="dxa"/>
            <w:vAlign w:val="center"/>
          </w:tcPr>
          <w:p w14:paraId="1EC80FB3">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100分</w:t>
            </w:r>
          </w:p>
        </w:tc>
        <w:tc>
          <w:tcPr>
            <w:tcW w:w="1134" w:type="dxa"/>
            <w:vAlign w:val="center"/>
          </w:tcPr>
          <w:p w14:paraId="7C0EFCDF">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c>
          <w:tcPr>
            <w:tcW w:w="978" w:type="dxa"/>
            <w:vAlign w:val="center"/>
          </w:tcPr>
          <w:p w14:paraId="6607F5B7">
            <w:pPr>
              <w:keepNext w:val="0"/>
              <w:keepLines w:val="0"/>
              <w:suppressLineNumbers w:val="0"/>
              <w:adjustRightInd w:val="0"/>
              <w:snapToGrid w:val="0"/>
              <w:spacing w:before="156" w:beforeLines="5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r>
    </w:tbl>
    <w:p w14:paraId="3B24DC1E">
      <w:pPr>
        <w:ind w:right="420" w:firstLine="11640" w:firstLineChars="4850"/>
        <w:rPr>
          <w:rFonts w:ascii="Times New Roman" w:hAnsi="Times New Roman" w:cs="Times New Roman"/>
          <w:color w:val="000000" w:themeColor="text1"/>
          <w:sz w:val="24"/>
          <w:szCs w:val="32"/>
          <w14:textFill>
            <w14:solidFill>
              <w14:schemeClr w14:val="tx1"/>
            </w14:solidFill>
          </w14:textFill>
        </w:rPr>
      </w:pPr>
      <w:r>
        <w:rPr>
          <w:rFonts w:ascii="Times New Roman" w:hAnsi="Times New Roman" w:cs="Times New Roman"/>
          <w:color w:val="000000" w:themeColor="text1"/>
          <w:sz w:val="24"/>
          <w:szCs w:val="32"/>
          <w14:textFill>
            <w14:solidFill>
              <w14:schemeClr w14:val="tx1"/>
            </w14:solidFill>
          </w14:textFill>
        </w:rPr>
        <w:t>复核人：</w:t>
      </w:r>
    </w:p>
    <w:p w14:paraId="0EA80251">
      <w:pPr>
        <w:rPr>
          <w:rFonts w:hint="eastAsia" w:ascii="仿宋" w:hAnsi="仿宋" w:eastAsia="仿宋" w:cs="仿宋"/>
          <w:sz w:val="28"/>
          <w:szCs w:val="28"/>
          <w:highlight w:val="none"/>
        </w:rPr>
        <w:sectPr>
          <w:pgSz w:w="16838" w:h="11906" w:orient="landscape"/>
          <w:pgMar w:top="1531" w:right="1134" w:bottom="1531" w:left="992" w:header="851" w:footer="992" w:gutter="0"/>
          <w:cols w:space="0" w:num="1"/>
          <w:docGrid w:type="lines" w:linePitch="312" w:charSpace="0"/>
        </w:sectPr>
      </w:pPr>
    </w:p>
    <w:p w14:paraId="3C5AA5F8">
      <w:pPr>
        <w:jc w:val="left"/>
        <w:rPr>
          <w:rFonts w:hint="default" w:ascii="仿宋" w:hAnsi="仿宋" w:eastAsia="仿宋" w:cs="仿宋"/>
          <w:sz w:val="28"/>
          <w:szCs w:val="28"/>
          <w:highlight w:val="none"/>
          <w:lang w:val="en-US" w:eastAsia="zh-CN"/>
        </w:rPr>
      </w:pPr>
    </w:p>
    <w:p w14:paraId="5485C176">
      <w:pPr>
        <w:jc w:val="left"/>
        <w:rPr>
          <w:rFonts w:ascii="仿宋" w:hAnsi="仿宋" w:eastAsia="仿宋" w:cs="仿宋"/>
          <w:sz w:val="28"/>
          <w:szCs w:val="28"/>
          <w:highlight w:val="none"/>
        </w:rPr>
      </w:pPr>
      <w:r>
        <w:rPr>
          <w:rFonts w:hint="eastAsia" w:ascii="仿宋" w:hAnsi="仿宋" w:eastAsia="仿宋" w:cs="仿宋"/>
          <w:sz w:val="28"/>
          <w:szCs w:val="28"/>
          <w:highlight w:val="none"/>
        </w:rPr>
        <w:t>附</w:t>
      </w:r>
      <w:r>
        <w:rPr>
          <w:rFonts w:hint="eastAsia" w:ascii="仿宋" w:hAnsi="仿宋" w:eastAsia="仿宋" w:cs="仿宋"/>
          <w:sz w:val="28"/>
          <w:szCs w:val="28"/>
          <w:highlight w:val="none"/>
          <w:lang w:val="en-US" w:eastAsia="zh-CN"/>
        </w:rPr>
        <w:t>件2</w:t>
      </w:r>
    </w:p>
    <w:p w14:paraId="092DFB9E">
      <w:pPr>
        <w:ind w:firstLine="480"/>
        <w:jc w:val="right"/>
        <w:rPr>
          <w:rFonts w:hint="eastAsia"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468B4923">
      <w:pPr>
        <w:pStyle w:val="11"/>
      </w:pPr>
    </w:p>
    <w:p w14:paraId="05924D60">
      <w:pPr>
        <w:ind w:firstLine="480"/>
        <w:jc w:val="right"/>
        <w:rPr>
          <w:rFonts w:ascii="Times New Roman" w:hAnsi="Times New Roman" w:eastAsia="宋体" w:cs="Times New Roman"/>
          <w:szCs w:val="22"/>
          <w:highlight w:val="none"/>
        </w:rPr>
      </w:pPr>
    </w:p>
    <w:p w14:paraId="01C28B6B">
      <w:pPr>
        <w:jc w:val="center"/>
        <w:rPr>
          <w:rFonts w:ascii="Times New Roman" w:hAnsi="Times New Roman" w:eastAsia="宋体" w:cs="Times New Roman"/>
          <w:sz w:val="84"/>
          <w:szCs w:val="84"/>
          <w:highlight w:val="none"/>
        </w:rPr>
      </w:pPr>
    </w:p>
    <w:p w14:paraId="0E857460">
      <w:pPr>
        <w:jc w:val="center"/>
        <w:rPr>
          <w:rFonts w:ascii="Times New Roman" w:hAnsi="Times New Roman" w:eastAsia="宋体" w:cs="Times New Roman"/>
          <w:sz w:val="84"/>
          <w:szCs w:val="84"/>
          <w:highlight w:val="none"/>
        </w:rPr>
      </w:pPr>
    </w:p>
    <w:p w14:paraId="3C4DE334">
      <w:pPr>
        <w:jc w:val="center"/>
        <w:rPr>
          <w:rFonts w:ascii="Times New Roman" w:hAnsi="Times New Roman" w:eastAsia="宋体" w:cs="Times New Roman"/>
          <w:sz w:val="84"/>
          <w:szCs w:val="84"/>
          <w:highlight w:val="none"/>
        </w:rPr>
      </w:pPr>
    </w:p>
    <w:p w14:paraId="5CCDE7DB">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资格文件</w:t>
      </w:r>
    </w:p>
    <w:p w14:paraId="258AB901">
      <w:pPr>
        <w:jc w:val="center"/>
        <w:rPr>
          <w:rFonts w:ascii="Times New Roman" w:hAnsi="Times New Roman" w:eastAsia="宋体" w:cs="Times New Roman"/>
          <w:szCs w:val="22"/>
          <w:highlight w:val="none"/>
        </w:rPr>
      </w:pPr>
    </w:p>
    <w:p w14:paraId="058D674D">
      <w:pPr>
        <w:jc w:val="center"/>
        <w:rPr>
          <w:rFonts w:ascii="Times New Roman" w:hAnsi="Times New Roman" w:eastAsia="宋体" w:cs="Times New Roman"/>
          <w:szCs w:val="22"/>
          <w:highlight w:val="none"/>
        </w:rPr>
      </w:pPr>
    </w:p>
    <w:p w14:paraId="668BB996">
      <w:pPr>
        <w:jc w:val="center"/>
        <w:rPr>
          <w:rFonts w:ascii="Times New Roman" w:hAnsi="Times New Roman" w:eastAsia="宋体" w:cs="Times New Roman"/>
          <w:szCs w:val="22"/>
          <w:highlight w:val="none"/>
        </w:rPr>
      </w:pPr>
    </w:p>
    <w:p w14:paraId="29104101">
      <w:pPr>
        <w:jc w:val="center"/>
        <w:rPr>
          <w:rFonts w:ascii="Times New Roman" w:hAnsi="Times New Roman" w:eastAsia="宋体" w:cs="Times New Roman"/>
          <w:szCs w:val="22"/>
          <w:highlight w:val="none"/>
        </w:rPr>
      </w:pPr>
    </w:p>
    <w:p w14:paraId="33153F83">
      <w:pPr>
        <w:jc w:val="center"/>
        <w:rPr>
          <w:rFonts w:ascii="Times New Roman" w:hAnsi="Times New Roman" w:eastAsia="宋体" w:cs="Times New Roman"/>
          <w:szCs w:val="22"/>
          <w:highlight w:val="none"/>
        </w:rPr>
      </w:pPr>
    </w:p>
    <w:p w14:paraId="2342EBC7">
      <w:pPr>
        <w:jc w:val="center"/>
        <w:rPr>
          <w:rFonts w:ascii="Times New Roman" w:hAnsi="Times New Roman" w:eastAsia="宋体" w:cs="Times New Roman"/>
          <w:szCs w:val="22"/>
          <w:highlight w:val="none"/>
        </w:rPr>
      </w:pPr>
    </w:p>
    <w:p w14:paraId="2EBC6226">
      <w:pPr>
        <w:jc w:val="center"/>
        <w:rPr>
          <w:rFonts w:ascii="Times New Roman" w:hAnsi="Times New Roman" w:eastAsia="宋体" w:cs="Times New Roman"/>
          <w:szCs w:val="22"/>
          <w:highlight w:val="none"/>
        </w:rPr>
      </w:pPr>
    </w:p>
    <w:p w14:paraId="0CEFBBA6">
      <w:pPr>
        <w:jc w:val="center"/>
        <w:rPr>
          <w:rFonts w:ascii="Times New Roman" w:hAnsi="Times New Roman" w:eastAsia="宋体" w:cs="Times New Roman"/>
          <w:szCs w:val="22"/>
          <w:highlight w:val="none"/>
        </w:rPr>
      </w:pPr>
    </w:p>
    <w:p w14:paraId="5EBD0160">
      <w:pPr>
        <w:pStyle w:val="3"/>
        <w:ind w:firstLine="280"/>
        <w:rPr>
          <w:highlight w:val="none"/>
        </w:rPr>
      </w:pPr>
      <w:r>
        <w:rPr>
          <w:rFonts w:hint="eastAsia"/>
          <w:highlight w:val="none"/>
        </w:rPr>
        <w:t>项目名称：</w:t>
      </w:r>
    </w:p>
    <w:p w14:paraId="7E618857">
      <w:pPr>
        <w:pStyle w:val="3"/>
        <w:ind w:firstLine="280"/>
        <w:rPr>
          <w:highlight w:val="none"/>
        </w:rPr>
      </w:pPr>
      <w:r>
        <w:rPr>
          <w:rFonts w:hint="eastAsia"/>
          <w:highlight w:val="none"/>
        </w:rPr>
        <w:t>项目编号：</w:t>
      </w:r>
    </w:p>
    <w:p w14:paraId="57AA2F58">
      <w:pPr>
        <w:pStyle w:val="3"/>
        <w:ind w:firstLine="280"/>
        <w:rPr>
          <w:highlight w:val="none"/>
        </w:rPr>
      </w:pPr>
      <w:r>
        <w:rPr>
          <w:rFonts w:hint="eastAsia"/>
          <w:highlight w:val="none"/>
        </w:rPr>
        <w:t>投标人名称：</w:t>
      </w:r>
    </w:p>
    <w:p w14:paraId="09307041">
      <w:pPr>
        <w:pStyle w:val="3"/>
        <w:ind w:firstLine="280"/>
        <w:rPr>
          <w:highlight w:val="none"/>
        </w:rPr>
      </w:pPr>
      <w:r>
        <w:rPr>
          <w:rFonts w:hint="eastAsia"/>
          <w:highlight w:val="none"/>
        </w:rPr>
        <w:t>投标人地址：</w:t>
      </w:r>
    </w:p>
    <w:p w14:paraId="3F1740FB">
      <w:pPr>
        <w:pStyle w:val="3"/>
        <w:ind w:firstLine="280"/>
        <w:rPr>
          <w:highlight w:val="none"/>
        </w:rPr>
      </w:pPr>
      <w:r>
        <w:rPr>
          <w:rFonts w:hint="eastAsia"/>
          <w:highlight w:val="none"/>
        </w:rPr>
        <w:t>在年月日时分之前不得启封</w:t>
      </w:r>
    </w:p>
    <w:p w14:paraId="0E4B5211">
      <w:pPr>
        <w:ind w:firstLine="480"/>
        <w:jc w:val="center"/>
        <w:rPr>
          <w:rFonts w:hint="default" w:ascii="Times New Roman" w:hAnsi="Times New Roman" w:eastAsia="宋体" w:cs="Times New Roman"/>
          <w:sz w:val="28"/>
          <w:highlight w:val="none"/>
          <w:lang w:val="en-US" w:eastAsia="zh-CN"/>
        </w:rPr>
      </w:pPr>
      <w:r>
        <w:rPr>
          <w:rFonts w:hint="eastAsia" w:ascii="Times New Roman" w:hAnsi="Times New Roman" w:eastAsia="宋体" w:cs="Times New Roman"/>
          <w:sz w:val="28"/>
          <w:highlight w:val="none"/>
          <w:lang w:val="en-US" w:eastAsia="zh-CN"/>
        </w:rPr>
        <w:t>年月日</w:t>
      </w:r>
    </w:p>
    <w:p w14:paraId="3A571ACE">
      <w:pPr>
        <w:pStyle w:val="22"/>
        <w:numPr>
          <w:ilvl w:val="0"/>
          <w:numId w:val="7"/>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有效的营业执照</w:t>
      </w:r>
      <w:r>
        <w:rPr>
          <w:rFonts w:hint="eastAsia" w:ascii="仿宋" w:hAnsi="仿宋" w:eastAsia="仿宋" w:cs="仿宋"/>
          <w:sz w:val="32"/>
          <w:szCs w:val="32"/>
          <w:highlight w:val="none"/>
          <w:lang w:val="en-US" w:eastAsia="zh-CN"/>
        </w:rPr>
        <w:t>正本</w:t>
      </w:r>
      <w:r>
        <w:rPr>
          <w:rFonts w:ascii="仿宋" w:hAnsi="仿宋" w:eastAsia="仿宋" w:cs="仿宋"/>
          <w:sz w:val="32"/>
          <w:szCs w:val="32"/>
          <w:highlight w:val="none"/>
        </w:rPr>
        <w:t>复印件，非法人企业需提供其他证明材料（加盖公章）；</w:t>
      </w:r>
    </w:p>
    <w:p w14:paraId="0BC775CE">
      <w:pPr>
        <w:pStyle w:val="22"/>
        <w:numPr>
          <w:ilvl w:val="0"/>
          <w:numId w:val="7"/>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提供自采购公告发布之日起至开标截止时间止的“信用中国”网站（www.creditchina.gov.cn）、中国政府采购网（www.ccgp.gov.cn）投标人信用查询网页截图（以开标当日采购人核实的查询结果为准）；</w:t>
      </w:r>
    </w:p>
    <w:p w14:paraId="77924BE3">
      <w:pPr>
        <w:pStyle w:val="22"/>
        <w:numPr>
          <w:ilvl w:val="0"/>
          <w:numId w:val="7"/>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法定代表人身份证复印件（加盖公章）；如非法定代表人参与开标，需额外提供法定代表人授权委托书原件（加盖公章）、授权委托人身份证复印件（加盖公章）；</w:t>
      </w:r>
    </w:p>
    <w:p w14:paraId="3316C56F">
      <w:pPr>
        <w:pStyle w:val="22"/>
        <w:numPr>
          <w:ilvl w:val="0"/>
          <w:numId w:val="7"/>
        </w:numPr>
        <w:ind w:firstLineChars="0"/>
        <w:rPr>
          <w:rFonts w:hint="default"/>
          <w:bCs/>
          <w:sz w:val="32"/>
          <w:szCs w:val="36"/>
          <w:highlight w:val="none"/>
        </w:rPr>
      </w:pPr>
      <w:r>
        <w:rPr>
          <w:rFonts w:ascii="仿宋" w:hAnsi="仿宋" w:eastAsia="仿宋" w:cs="仿宋"/>
          <w:sz w:val="32"/>
          <w:szCs w:val="32"/>
          <w:highlight w:val="none"/>
        </w:rPr>
        <w:t>最近三个月内任意一个月的依法缴纳</w:t>
      </w:r>
      <w:r>
        <w:rPr>
          <w:rFonts w:ascii="仿宋" w:hAnsi="仿宋" w:eastAsia="仿宋" w:cs="仿宋"/>
          <w:b/>
          <w:bCs/>
          <w:sz w:val="32"/>
          <w:szCs w:val="32"/>
          <w:highlight w:val="none"/>
        </w:rPr>
        <w:t>税收</w:t>
      </w:r>
      <w:r>
        <w:rPr>
          <w:rFonts w:ascii="仿宋" w:hAnsi="仿宋" w:eastAsia="仿宋" w:cs="仿宋"/>
          <w:sz w:val="32"/>
          <w:szCs w:val="32"/>
          <w:highlight w:val="none"/>
        </w:rPr>
        <w:t>和</w:t>
      </w:r>
      <w:r>
        <w:rPr>
          <w:rFonts w:ascii="仿宋" w:hAnsi="仿宋" w:eastAsia="仿宋" w:cs="仿宋"/>
          <w:b/>
          <w:bCs/>
          <w:sz w:val="32"/>
          <w:szCs w:val="32"/>
          <w:highlight w:val="none"/>
        </w:rPr>
        <w:t>社保证明</w:t>
      </w:r>
      <w:r>
        <w:rPr>
          <w:rFonts w:ascii="仿宋" w:hAnsi="仿宋" w:eastAsia="仿宋" w:cs="仿宋"/>
          <w:sz w:val="32"/>
          <w:szCs w:val="32"/>
          <w:highlight w:val="none"/>
        </w:rPr>
        <w:t>；</w:t>
      </w:r>
    </w:p>
    <w:p w14:paraId="11D7C01C">
      <w:pPr>
        <w:pStyle w:val="22"/>
        <w:numPr>
          <w:ilvl w:val="0"/>
          <w:numId w:val="7"/>
        </w:numPr>
        <w:ind w:firstLineChars="0"/>
        <w:rPr>
          <w:rFonts w:hint="default"/>
          <w:bCs/>
          <w:sz w:val="32"/>
          <w:szCs w:val="36"/>
          <w:highlight w:val="none"/>
        </w:rPr>
      </w:pPr>
      <w:r>
        <w:rPr>
          <w:rFonts w:ascii="仿宋" w:hAnsi="仿宋" w:eastAsia="仿宋" w:cs="仿宋"/>
          <w:sz w:val="32"/>
          <w:szCs w:val="32"/>
          <w:highlight w:val="none"/>
        </w:rPr>
        <w:t>投标声明书；</w:t>
      </w:r>
    </w:p>
    <w:p w14:paraId="5698D2AA">
      <w:pPr>
        <w:pStyle w:val="22"/>
        <w:numPr>
          <w:ilvl w:val="0"/>
          <w:numId w:val="0"/>
        </w:numPr>
        <w:rPr>
          <w:rFonts w:hint="default"/>
          <w:bCs/>
          <w:sz w:val="36"/>
          <w:szCs w:val="40"/>
          <w:highlight w:val="none"/>
        </w:rPr>
      </w:pPr>
      <w:r>
        <w:rPr>
          <w:rFonts w:hint="eastAsia" w:ascii="仿宋" w:hAnsi="仿宋" w:eastAsia="仿宋" w:cs="仿宋"/>
          <w:kern w:val="2"/>
          <w:sz w:val="28"/>
          <w:szCs w:val="28"/>
          <w:highlight w:val="none"/>
          <w:lang w:val="en-US" w:eastAsia="zh-CN" w:bidi="ar-SA"/>
        </w:rPr>
        <w:t>6.有效的输变电工程专业承包三级及以上或电力工程施工总承包三级及以上资质或机电工程施工总承包三级及以上资质或建筑机电安装工程专业承包二级及以上资质，有效的安全生产许可证；或有效的《承装（修、试）电力设施许可证》三级及以上。</w:t>
      </w:r>
    </w:p>
    <w:p w14:paraId="5EA01A26">
      <w:pPr>
        <w:pStyle w:val="22"/>
        <w:numPr>
          <w:ilvl w:val="0"/>
          <w:numId w:val="0"/>
        </w:numPr>
        <w:ind w:leftChars="0"/>
        <w:rPr>
          <w:rFonts w:hint="default"/>
          <w:bCs/>
          <w:sz w:val="32"/>
          <w:szCs w:val="36"/>
          <w:highlight w:val="none"/>
        </w:rPr>
      </w:pPr>
      <w:r>
        <w:rPr>
          <w:rFonts w:hint="eastAsia" w:ascii="仿宋" w:hAnsi="仿宋" w:eastAsia="仿宋" w:cs="仿宋"/>
          <w:sz w:val="32"/>
          <w:szCs w:val="32"/>
          <w:highlight w:val="none"/>
          <w:lang w:val="en-US" w:eastAsia="zh-CN"/>
        </w:rPr>
        <w:t>7.</w:t>
      </w:r>
      <w:r>
        <w:rPr>
          <w:rFonts w:ascii="仿宋" w:hAnsi="仿宋" w:eastAsia="仿宋" w:cs="仿宋"/>
          <w:sz w:val="32"/>
          <w:szCs w:val="32"/>
          <w:highlight w:val="none"/>
        </w:rPr>
        <w:t>其他供应商认为有必要提供的材料。</w:t>
      </w:r>
    </w:p>
    <w:p w14:paraId="4A03117E">
      <w:pPr>
        <w:rPr>
          <w:sz w:val="28"/>
          <w:szCs w:val="28"/>
          <w:highlight w:val="none"/>
        </w:rPr>
        <w:sectPr>
          <w:pgSz w:w="11906" w:h="16838"/>
          <w:pgMar w:top="1134" w:right="1531" w:bottom="992" w:left="1531" w:header="851" w:footer="992" w:gutter="0"/>
          <w:cols w:space="0" w:num="1"/>
          <w:docGrid w:type="lines" w:linePitch="312" w:charSpace="0"/>
        </w:sectPr>
      </w:pPr>
    </w:p>
    <w:p w14:paraId="5F3C7763">
      <w:pPr>
        <w:keepNext/>
        <w:keepLines/>
        <w:jc w:val="center"/>
        <w:outlineLvl w:val="2"/>
        <w:rPr>
          <w:rFonts w:ascii="微软雅黑" w:hAnsi="微软雅黑" w:eastAsia="仿宋" w:cs="微软雅黑"/>
          <w:bCs/>
          <w:szCs w:val="22"/>
          <w:highlight w:val="none"/>
        </w:rPr>
      </w:pPr>
      <w:r>
        <w:rPr>
          <w:rFonts w:hint="eastAsia" w:ascii="Times New Roman" w:hAnsi="Times New Roman" w:eastAsia="仿宋" w:cs="Times New Roman"/>
          <w:b/>
          <w:sz w:val="30"/>
          <w:szCs w:val="22"/>
          <w:highlight w:val="none"/>
        </w:rPr>
        <w:t>法定代表人授权委托书</w:t>
      </w:r>
    </w:p>
    <w:p w14:paraId="5EE497F1">
      <w:pPr>
        <w:pStyle w:val="22"/>
        <w:ind w:firstLine="0" w:firstLineChars="0"/>
        <w:rPr>
          <w:rFonts w:hint="default"/>
          <w:highlight w:val="none"/>
        </w:rPr>
      </w:pPr>
      <w:r>
        <w:rPr>
          <w:highlight w:val="none"/>
        </w:rPr>
        <w:t>致湖州学院：</w:t>
      </w:r>
    </w:p>
    <w:p w14:paraId="7E012EF5">
      <w:pPr>
        <w:pStyle w:val="22"/>
        <w:ind w:firstLine="480"/>
        <w:rPr>
          <w:rFonts w:hint="default"/>
          <w:highlight w:val="none"/>
        </w:rPr>
      </w:pPr>
      <w:r>
        <w:rPr>
          <w:highlight w:val="none"/>
        </w:rPr>
        <w:t>本人（姓名），身份证号，系（供应商名称）的法定代表人，现授权委托（姓名），身份证号，为授权委托人。以我方的名义参加编号：，名称：的投标活动，并代表我方全权办理针对上述项目的投标、开标、评标、签约等具体事务和签署相关文件。</w:t>
      </w:r>
    </w:p>
    <w:p w14:paraId="3B5E2BC9">
      <w:pPr>
        <w:pStyle w:val="22"/>
        <w:ind w:firstLine="480"/>
        <w:rPr>
          <w:rFonts w:hint="default"/>
          <w:highlight w:val="none"/>
        </w:rPr>
      </w:pPr>
      <w:r>
        <w:rPr>
          <w:highlight w:val="none"/>
        </w:rPr>
        <w:t>我方对授权委托人的签名事项负全部责任。</w:t>
      </w:r>
    </w:p>
    <w:p w14:paraId="0C9CB45F">
      <w:pPr>
        <w:pStyle w:val="22"/>
        <w:ind w:firstLine="480"/>
        <w:rPr>
          <w:rFonts w:hint="default"/>
          <w:highlight w:val="none"/>
        </w:rPr>
      </w:pPr>
      <w:r>
        <w:rPr>
          <w:highlight w:val="none"/>
        </w:rPr>
        <w:t>本授权书自签订之日起180日内有效，授权委托人在授权书有效期内签署的所有文件不因授权的撤销而失效。</w:t>
      </w:r>
    </w:p>
    <w:p w14:paraId="75DDFA9F">
      <w:pPr>
        <w:pStyle w:val="22"/>
        <w:ind w:firstLine="480"/>
        <w:rPr>
          <w:rFonts w:hint="default"/>
          <w:highlight w:val="none"/>
        </w:rPr>
      </w:pPr>
      <w:r>
        <w:rPr>
          <w:highlight w:val="none"/>
        </w:rPr>
        <w:t>授权委托人无转委托权，特此委托。</w:t>
      </w:r>
    </w:p>
    <w:p w14:paraId="6B9BF423">
      <w:pPr>
        <w:pStyle w:val="22"/>
        <w:ind w:firstLine="480"/>
        <w:rPr>
          <w:rFonts w:hint="default"/>
          <w:highlight w:val="none"/>
        </w:rPr>
      </w:pPr>
    </w:p>
    <w:p w14:paraId="1A67090D">
      <w:pPr>
        <w:pStyle w:val="22"/>
        <w:ind w:firstLine="480"/>
        <w:rPr>
          <w:rFonts w:hint="default"/>
          <w:highlight w:val="none"/>
        </w:rPr>
      </w:pPr>
      <w:r>
        <w:rPr>
          <w:highlight w:val="none"/>
        </w:rPr>
        <w:t>授权委托人签名：法定代表人签名：</w:t>
      </w:r>
    </w:p>
    <w:p w14:paraId="0F0EAAE0">
      <w:pPr>
        <w:pStyle w:val="22"/>
        <w:ind w:firstLine="480"/>
        <w:rPr>
          <w:rFonts w:hint="default"/>
          <w:highlight w:val="none"/>
        </w:rPr>
      </w:pPr>
      <w:r>
        <w:rPr>
          <w:highlight w:val="none"/>
        </w:rPr>
        <w:t>供应商全称公章：</w:t>
      </w:r>
    </w:p>
    <w:p w14:paraId="1AFEF99A">
      <w:pPr>
        <w:pStyle w:val="22"/>
        <w:ind w:firstLine="480"/>
        <w:rPr>
          <w:rFonts w:hint="default"/>
          <w:highlight w:val="none"/>
        </w:rPr>
      </w:pPr>
    </w:p>
    <w:p w14:paraId="3F9C9245">
      <w:pPr>
        <w:pStyle w:val="22"/>
        <w:ind w:firstLine="480"/>
        <w:rPr>
          <w:rFonts w:hint="default"/>
          <w:highlight w:val="none"/>
          <w:lang w:eastAsia="zh-Hans"/>
        </w:rPr>
      </w:pPr>
      <w:r>
        <w:rPr>
          <w:highlight w:val="none"/>
          <w:lang w:eastAsia="zh-Hans"/>
        </w:rPr>
        <w:t>日期：年月日</w:t>
      </w:r>
    </w:p>
    <w:tbl>
      <w:tblPr>
        <w:tblStyle w:val="17"/>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67BEE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shd w:val="clear" w:color="auto" w:fill="auto"/>
            <w:vAlign w:val="center"/>
          </w:tcPr>
          <w:p w14:paraId="05A25A3C">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14:paraId="6CD44FC4">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20BEDB07">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75" w:type="dxa"/>
            <w:tcBorders>
              <w:top w:val="nil"/>
              <w:left w:val="nil"/>
              <w:bottom w:val="nil"/>
              <w:right w:val="single" w:color="auto" w:sz="4" w:space="0"/>
            </w:tcBorders>
            <w:shd w:val="clear" w:color="auto" w:fill="auto"/>
          </w:tcPr>
          <w:p w14:paraId="395E3779">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14:paraId="66428334">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14:paraId="705CB90D">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17F798E1">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14:paraId="35DE40D5">
      <w:pPr>
        <w:spacing w:line="360" w:lineRule="auto"/>
        <w:jc w:val="center"/>
        <w:rPr>
          <w:rFonts w:ascii="宋体" w:hAnsi="宋体" w:eastAsia="宋体" w:cs="宋体"/>
          <w:spacing w:val="24"/>
          <w:sz w:val="24"/>
          <w:highlight w:val="none"/>
          <w:lang w:bidi="ar"/>
        </w:rPr>
      </w:pPr>
    </w:p>
    <w:tbl>
      <w:tblPr>
        <w:tblStyle w:val="17"/>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6A276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shd w:val="clear" w:color="auto" w:fill="auto"/>
            <w:vAlign w:val="center"/>
          </w:tcPr>
          <w:p w14:paraId="1C0FECA4">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授权委托人居民身份证</w:t>
            </w:r>
          </w:p>
          <w:p w14:paraId="36FFAF37">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4679004C">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56" w:type="dxa"/>
            <w:tcBorders>
              <w:top w:val="nil"/>
              <w:left w:val="nil"/>
              <w:bottom w:val="nil"/>
              <w:right w:val="single" w:color="auto" w:sz="4" w:space="0"/>
            </w:tcBorders>
            <w:shd w:val="clear" w:color="auto" w:fill="auto"/>
          </w:tcPr>
          <w:p w14:paraId="1F85EA2A">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14:paraId="6C79757E">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b/>
                <w:bCs/>
                <w:spacing w:val="24"/>
                <w:sz w:val="24"/>
                <w:highlight w:val="none"/>
                <w:lang w:bidi="ar"/>
              </w:rPr>
              <w:t>授权委托人居民身份证</w:t>
            </w:r>
          </w:p>
          <w:p w14:paraId="18E2A3D9">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58A5078C">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14:paraId="4FCEB7B1">
      <w:pPr>
        <w:pStyle w:val="22"/>
        <w:ind w:firstLine="480"/>
        <w:rPr>
          <w:rFonts w:hint="default"/>
          <w:highlight w:val="none"/>
        </w:rPr>
      </w:pPr>
      <w:r>
        <w:rPr>
          <w:highlight w:val="none"/>
        </w:rPr>
        <w:br w:type="page"/>
      </w:r>
    </w:p>
    <w:p w14:paraId="134A77C7">
      <w:pPr>
        <w:keepNext/>
        <w:keepLines/>
        <w:jc w:val="center"/>
        <w:outlineLvl w:val="2"/>
        <w:rPr>
          <w:rFonts w:ascii="Times New Roman" w:hAnsi="Times New Roman" w:eastAsia="仿宋" w:cs="Times New Roman"/>
          <w:b/>
          <w:sz w:val="30"/>
          <w:szCs w:val="22"/>
          <w:highlight w:val="none"/>
          <w:lang w:eastAsia="zh-Hans"/>
        </w:rPr>
      </w:pPr>
      <w:r>
        <w:rPr>
          <w:rFonts w:hint="eastAsia" w:ascii="Times New Roman" w:hAnsi="Times New Roman" w:eastAsia="仿宋" w:cs="Times New Roman"/>
          <w:b/>
          <w:sz w:val="30"/>
          <w:szCs w:val="22"/>
          <w:highlight w:val="none"/>
          <w:lang w:eastAsia="zh-Hans"/>
        </w:rPr>
        <w:t>投标声明书</w:t>
      </w:r>
    </w:p>
    <w:p w14:paraId="130D6CF1">
      <w:pPr>
        <w:rPr>
          <w:rFonts w:ascii="Times New Roman" w:hAnsi="Times New Roman" w:eastAsia="宋体" w:cs="Times New Roman"/>
          <w:szCs w:val="22"/>
          <w:highlight w:val="none"/>
        </w:rPr>
      </w:pPr>
    </w:p>
    <w:p w14:paraId="578053DA">
      <w:pPr>
        <w:pStyle w:val="22"/>
        <w:ind w:firstLine="0" w:firstLineChars="0"/>
        <w:rPr>
          <w:rFonts w:hint="default"/>
          <w:highlight w:val="none"/>
        </w:rPr>
      </w:pPr>
      <w:r>
        <w:rPr>
          <w:highlight w:val="none"/>
        </w:rPr>
        <w:t>致湖州学院：</w:t>
      </w:r>
    </w:p>
    <w:p w14:paraId="07CE134A">
      <w:pPr>
        <w:pStyle w:val="22"/>
        <w:ind w:firstLine="480"/>
        <w:rPr>
          <w:rFonts w:hint="default"/>
          <w:highlight w:val="none"/>
        </w:rPr>
      </w:pPr>
      <w:r>
        <w:rPr>
          <w:highlight w:val="none"/>
        </w:rPr>
        <w:t>我方自愿参加贵方组织的招标活动（编号：，名称：），为便于贵方公正、择优地确定中标人及其投标项目的招标，我方就本次投标有关事项郑重声明如下：</w:t>
      </w:r>
    </w:p>
    <w:p w14:paraId="087F54EB">
      <w:pPr>
        <w:pStyle w:val="22"/>
        <w:ind w:firstLine="480"/>
        <w:rPr>
          <w:rFonts w:hint="default"/>
          <w:highlight w:val="none"/>
        </w:rPr>
      </w:pPr>
      <w:r>
        <w:rPr>
          <w:highlight w:val="none"/>
        </w:rPr>
        <w:t>（一）我方具备《中华人民共和国政府采购法》第二十二条第一款规定的条件：</w:t>
      </w:r>
    </w:p>
    <w:p w14:paraId="422ADAA1">
      <w:pPr>
        <w:pStyle w:val="22"/>
        <w:ind w:firstLine="480"/>
        <w:rPr>
          <w:rFonts w:hint="default"/>
          <w:highlight w:val="none"/>
        </w:rPr>
      </w:pPr>
      <w:r>
        <w:rPr>
          <w:highlight w:val="none"/>
        </w:rPr>
        <w:t>1.具有独立承担民事责任的能力；</w:t>
      </w:r>
    </w:p>
    <w:p w14:paraId="415BE398">
      <w:pPr>
        <w:pStyle w:val="22"/>
        <w:ind w:firstLine="480"/>
        <w:rPr>
          <w:rFonts w:hint="eastAsia" w:eastAsia="宋体"/>
          <w:highlight w:val="none"/>
          <w:lang w:eastAsia="zh-CN"/>
        </w:rPr>
      </w:pPr>
      <w:r>
        <w:rPr>
          <w:highlight w:val="none"/>
        </w:rPr>
        <w:t>2.具有良好的商业信誉和健全的财务会计制度；</w:t>
      </w:r>
    </w:p>
    <w:p w14:paraId="302DB065">
      <w:pPr>
        <w:pStyle w:val="22"/>
        <w:ind w:firstLine="480"/>
        <w:rPr>
          <w:rFonts w:hint="default"/>
          <w:highlight w:val="none"/>
        </w:rPr>
      </w:pPr>
      <w:r>
        <w:rPr>
          <w:highlight w:val="none"/>
        </w:rPr>
        <w:t>3.具有履行合同所必需的设备和专业技术能力；</w:t>
      </w:r>
    </w:p>
    <w:p w14:paraId="0DD17F47">
      <w:pPr>
        <w:pStyle w:val="22"/>
        <w:ind w:firstLine="480"/>
        <w:rPr>
          <w:rFonts w:hint="default"/>
          <w:highlight w:val="none"/>
        </w:rPr>
      </w:pPr>
      <w:r>
        <w:rPr>
          <w:highlight w:val="none"/>
        </w:rPr>
        <w:t>4.有依法缴纳税收和社会保障资金的良好记录；</w:t>
      </w:r>
    </w:p>
    <w:p w14:paraId="38DBDAE1">
      <w:pPr>
        <w:pStyle w:val="22"/>
        <w:ind w:firstLine="480"/>
        <w:rPr>
          <w:rFonts w:hint="default"/>
          <w:highlight w:val="none"/>
        </w:rPr>
      </w:pPr>
      <w:r>
        <w:rPr>
          <w:highlight w:val="none"/>
        </w:rPr>
        <w:t>5.参加政府采购活动前三年内，在经营活动中没有重大违法记录；</w:t>
      </w:r>
    </w:p>
    <w:p w14:paraId="4A89A508">
      <w:pPr>
        <w:pStyle w:val="22"/>
        <w:ind w:firstLine="480"/>
        <w:rPr>
          <w:rFonts w:hint="default"/>
          <w:highlight w:val="none"/>
        </w:rPr>
      </w:pPr>
      <w:r>
        <w:rPr>
          <w:highlight w:val="none"/>
        </w:rPr>
        <w:t>6.具有法律、行政法规规定的其他条件。</w:t>
      </w:r>
    </w:p>
    <w:p w14:paraId="70B6468C">
      <w:pPr>
        <w:pStyle w:val="22"/>
        <w:ind w:firstLine="480"/>
        <w:rPr>
          <w:rFonts w:hint="default"/>
          <w:highlight w:val="none"/>
        </w:rPr>
      </w:pPr>
      <w:r>
        <w:rPr>
          <w:highlight w:val="none"/>
        </w:rPr>
        <w:t>（二）我方未被信用中国（www.creditchina.gov.cn）、中国政府采购网（www.ccgp.gov.cn）列入失信被执行人、重大税收违法案件当事人名单、政府采购严重违法失信行为记录名单。</w:t>
      </w:r>
    </w:p>
    <w:p w14:paraId="26B10CE4">
      <w:pPr>
        <w:pStyle w:val="22"/>
        <w:ind w:firstLine="480"/>
        <w:rPr>
          <w:rFonts w:hint="default"/>
          <w:highlight w:val="none"/>
        </w:rPr>
      </w:pPr>
      <w:r>
        <w:rPr>
          <w:highlight w:val="none"/>
        </w:rPr>
        <w:t>（三）我方不存在以下情况：</w:t>
      </w:r>
    </w:p>
    <w:p w14:paraId="7E669237">
      <w:pPr>
        <w:pStyle w:val="22"/>
        <w:ind w:firstLine="480"/>
        <w:rPr>
          <w:rFonts w:hint="default"/>
          <w:highlight w:val="none"/>
        </w:rPr>
      </w:pPr>
      <w:r>
        <w:rPr>
          <w:highlight w:val="none"/>
        </w:rPr>
        <w:t>1.单位负责人为同一人或者存在直接控股、管理关系的不同供应商参加同一合同项下的政府采购活动的；</w:t>
      </w:r>
    </w:p>
    <w:p w14:paraId="4510E9DA">
      <w:pPr>
        <w:pStyle w:val="22"/>
        <w:ind w:firstLine="480"/>
        <w:rPr>
          <w:rFonts w:hint="default"/>
          <w:highlight w:val="none"/>
        </w:rPr>
      </w:pPr>
      <w:r>
        <w:rPr>
          <w:highlight w:val="none"/>
        </w:rPr>
        <w:t>2.为采购项目提供整体设计、规范编制或者项目管理、监理、检测等服务后再参加该采购项目的其他采购活动。</w:t>
      </w:r>
    </w:p>
    <w:p w14:paraId="65C1948B">
      <w:pPr>
        <w:pStyle w:val="22"/>
        <w:ind w:firstLine="480"/>
        <w:rPr>
          <w:rFonts w:hint="default"/>
          <w:highlight w:val="none"/>
        </w:rPr>
      </w:pPr>
      <w:r>
        <w:rPr>
          <w:highlight w:val="none"/>
        </w:rPr>
        <w:t>以上事项如有虚假或隐瞒，我方愿意承担一切后果和责任。</w:t>
      </w:r>
    </w:p>
    <w:p w14:paraId="27A33829">
      <w:pPr>
        <w:pStyle w:val="22"/>
        <w:ind w:firstLine="480"/>
        <w:rPr>
          <w:rFonts w:hint="default"/>
          <w:highlight w:val="none"/>
        </w:rPr>
      </w:pPr>
    </w:p>
    <w:p w14:paraId="7CC4A3EE">
      <w:pPr>
        <w:pStyle w:val="22"/>
        <w:ind w:firstLine="480"/>
        <w:rPr>
          <w:rFonts w:hint="default"/>
          <w:highlight w:val="none"/>
        </w:rPr>
      </w:pPr>
      <w:r>
        <w:rPr>
          <w:highlight w:val="none"/>
        </w:rPr>
        <w:t>法定代表人或授权委托人签字：</w:t>
      </w:r>
    </w:p>
    <w:p w14:paraId="08A67E14">
      <w:pPr>
        <w:pStyle w:val="22"/>
        <w:ind w:firstLine="480"/>
        <w:rPr>
          <w:rFonts w:hint="default"/>
          <w:highlight w:val="none"/>
        </w:rPr>
      </w:pPr>
    </w:p>
    <w:p w14:paraId="6EAB74A0">
      <w:pPr>
        <w:pStyle w:val="22"/>
        <w:ind w:firstLine="480"/>
        <w:rPr>
          <w:rFonts w:hint="default"/>
          <w:highlight w:val="none"/>
        </w:rPr>
      </w:pPr>
      <w:r>
        <w:rPr>
          <w:highlight w:val="none"/>
        </w:rPr>
        <w:t>供应商全称公章：</w:t>
      </w:r>
    </w:p>
    <w:p w14:paraId="4597E144">
      <w:pPr>
        <w:pStyle w:val="22"/>
        <w:ind w:firstLine="480"/>
        <w:rPr>
          <w:rFonts w:hint="default"/>
          <w:highlight w:val="none"/>
        </w:rPr>
      </w:pPr>
    </w:p>
    <w:p w14:paraId="7EEC305C">
      <w:pPr>
        <w:pStyle w:val="22"/>
        <w:ind w:firstLine="480"/>
        <w:rPr>
          <w:rFonts w:hint="default"/>
          <w:szCs w:val="22"/>
          <w:highlight w:val="none"/>
        </w:rPr>
      </w:pPr>
      <w:r>
        <w:rPr>
          <w:highlight w:val="none"/>
        </w:rPr>
        <w:t>日期：年月日</w:t>
      </w:r>
      <w:r>
        <w:rPr>
          <w:szCs w:val="22"/>
          <w:highlight w:val="none"/>
        </w:rPr>
        <w:br w:type="page"/>
      </w:r>
    </w:p>
    <w:p w14:paraId="3E66AA03">
      <w:pPr>
        <w:jc w:val="left"/>
        <w:rPr>
          <w:rFonts w:ascii="宋体" w:hAnsi="宋体" w:eastAsia="宋体" w:cs="宋体"/>
          <w:sz w:val="24"/>
          <w:highlight w:val="none"/>
        </w:rPr>
      </w:pPr>
      <w:bookmarkStart w:id="0" w:name="附录4"/>
      <w:r>
        <w:rPr>
          <w:rFonts w:hint="eastAsia" w:ascii="Times New Roman" w:hAnsi="Times New Roman" w:eastAsia="宋体" w:cs="Times New Roman"/>
          <w:sz w:val="28"/>
          <w:szCs w:val="28"/>
          <w:highlight w:val="none"/>
        </w:rPr>
        <w:t>附件</w:t>
      </w:r>
      <w:r>
        <w:rPr>
          <w:rFonts w:hint="eastAsia" w:ascii="Times New Roman" w:hAnsi="Times New Roman" w:eastAsia="宋体" w:cs="Times New Roman"/>
          <w:sz w:val="28"/>
          <w:szCs w:val="28"/>
          <w:highlight w:val="none"/>
          <w:lang w:val="en-US" w:eastAsia="zh-CN"/>
        </w:rPr>
        <w:t>3</w:t>
      </w:r>
      <w:bookmarkEnd w:id="0"/>
    </w:p>
    <w:p w14:paraId="437BFC80">
      <w:pPr>
        <w:ind w:firstLine="480"/>
        <w:jc w:val="right"/>
        <w:rPr>
          <w:rFonts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1E88EEF8">
      <w:pPr>
        <w:jc w:val="left"/>
        <w:rPr>
          <w:rFonts w:ascii="Times New Roman" w:hAnsi="Times New Roman" w:eastAsia="宋体" w:cs="Times New Roman"/>
          <w:sz w:val="96"/>
          <w:szCs w:val="72"/>
          <w:highlight w:val="none"/>
        </w:rPr>
      </w:pPr>
    </w:p>
    <w:p w14:paraId="3E50D860">
      <w:pPr>
        <w:jc w:val="left"/>
        <w:rPr>
          <w:rFonts w:ascii="Times New Roman" w:hAnsi="Times New Roman" w:eastAsia="宋体" w:cs="Times New Roman"/>
          <w:sz w:val="96"/>
          <w:szCs w:val="72"/>
          <w:highlight w:val="none"/>
        </w:rPr>
      </w:pPr>
    </w:p>
    <w:p w14:paraId="135F71FA">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技术商务文件</w:t>
      </w:r>
    </w:p>
    <w:p w14:paraId="644CE2A4">
      <w:pPr>
        <w:jc w:val="left"/>
        <w:rPr>
          <w:rFonts w:ascii="Times New Roman" w:hAnsi="Times New Roman" w:eastAsia="宋体" w:cs="Times New Roman"/>
          <w:sz w:val="96"/>
          <w:szCs w:val="72"/>
          <w:highlight w:val="none"/>
        </w:rPr>
      </w:pPr>
    </w:p>
    <w:p w14:paraId="57FDE0C5">
      <w:pPr>
        <w:rPr>
          <w:rFonts w:ascii="Times New Roman" w:hAnsi="Times New Roman" w:eastAsia="宋体" w:cs="Times New Roman"/>
          <w:sz w:val="96"/>
          <w:szCs w:val="72"/>
          <w:highlight w:val="none"/>
        </w:rPr>
      </w:pPr>
    </w:p>
    <w:p w14:paraId="45217AE3">
      <w:pPr>
        <w:pStyle w:val="3"/>
        <w:ind w:firstLine="280"/>
        <w:rPr>
          <w:highlight w:val="none"/>
        </w:rPr>
      </w:pPr>
    </w:p>
    <w:p w14:paraId="76DF5640">
      <w:pPr>
        <w:pStyle w:val="3"/>
        <w:ind w:firstLine="280"/>
        <w:rPr>
          <w:highlight w:val="none"/>
        </w:rPr>
      </w:pPr>
      <w:r>
        <w:rPr>
          <w:rFonts w:hint="eastAsia"/>
          <w:highlight w:val="none"/>
        </w:rPr>
        <w:t>项目名称：</w:t>
      </w:r>
    </w:p>
    <w:p w14:paraId="602B656B">
      <w:pPr>
        <w:pStyle w:val="3"/>
        <w:ind w:firstLine="280"/>
        <w:rPr>
          <w:highlight w:val="none"/>
        </w:rPr>
      </w:pPr>
      <w:r>
        <w:rPr>
          <w:rFonts w:hint="eastAsia"/>
          <w:highlight w:val="none"/>
        </w:rPr>
        <w:t>项目编号：</w:t>
      </w:r>
    </w:p>
    <w:p w14:paraId="57C16394">
      <w:pPr>
        <w:pStyle w:val="3"/>
        <w:ind w:firstLine="280"/>
        <w:rPr>
          <w:highlight w:val="none"/>
        </w:rPr>
      </w:pPr>
      <w:r>
        <w:rPr>
          <w:rFonts w:hint="eastAsia"/>
          <w:highlight w:val="none"/>
        </w:rPr>
        <w:t>投标人名称：</w:t>
      </w:r>
    </w:p>
    <w:p w14:paraId="3F5ED013">
      <w:pPr>
        <w:pStyle w:val="3"/>
        <w:ind w:firstLine="280"/>
        <w:rPr>
          <w:highlight w:val="none"/>
        </w:rPr>
      </w:pPr>
      <w:r>
        <w:rPr>
          <w:rFonts w:hint="eastAsia"/>
          <w:highlight w:val="none"/>
        </w:rPr>
        <w:t>投标人地址：</w:t>
      </w:r>
    </w:p>
    <w:p w14:paraId="2FE1BC27">
      <w:pPr>
        <w:pStyle w:val="3"/>
        <w:ind w:firstLine="280"/>
        <w:rPr>
          <w:highlight w:val="none"/>
        </w:rPr>
      </w:pPr>
      <w:r>
        <w:rPr>
          <w:rFonts w:hint="eastAsia"/>
          <w:highlight w:val="none"/>
        </w:rPr>
        <w:t>在年月日时分之前不得启封</w:t>
      </w:r>
    </w:p>
    <w:p w14:paraId="025489EF">
      <w:pPr>
        <w:jc w:val="center"/>
        <w:rPr>
          <w:rFonts w:ascii="Times New Roman" w:hAnsi="Times New Roman" w:eastAsia="宋体" w:cs="Times New Roman"/>
          <w:sz w:val="28"/>
          <w:highlight w:val="none"/>
        </w:rPr>
      </w:pPr>
    </w:p>
    <w:p w14:paraId="63FC7E7D">
      <w:pPr>
        <w:jc w:val="center"/>
        <w:rPr>
          <w:rFonts w:ascii="Times New Roman" w:hAnsi="Times New Roman" w:eastAsia="宋体" w:cs="Times New Roman"/>
          <w:sz w:val="28"/>
          <w:highlight w:val="none"/>
        </w:rPr>
      </w:pPr>
    </w:p>
    <w:p w14:paraId="02184B07">
      <w:pPr>
        <w:ind w:firstLine="480"/>
        <w:jc w:val="right"/>
        <w:rPr>
          <w:rFonts w:ascii="Times New Roman" w:hAnsi="Times New Roman" w:eastAsia="仿宋" w:cs="Times New Roman"/>
          <w:b/>
          <w:sz w:val="30"/>
          <w:szCs w:val="22"/>
          <w:highlight w:val="none"/>
        </w:rPr>
      </w:pPr>
      <w:r>
        <w:rPr>
          <w:rFonts w:hint="eastAsia" w:ascii="Times New Roman" w:hAnsi="Times New Roman" w:eastAsia="宋体" w:cs="Times New Roman"/>
          <w:sz w:val="28"/>
          <w:highlight w:val="none"/>
        </w:rPr>
        <w:t>年月日</w:t>
      </w:r>
    </w:p>
    <w:p w14:paraId="08EF943B">
      <w:pPr>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br w:type="page"/>
      </w:r>
    </w:p>
    <w:p w14:paraId="06C7E359">
      <w:pPr>
        <w:numPr>
          <w:ilvl w:val="0"/>
          <w:numId w:val="8"/>
        </w:numPr>
        <w:jc w:val="left"/>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评分索引表</w:t>
      </w:r>
    </w:p>
    <w:p w14:paraId="21B4E83B">
      <w:pPr>
        <w:spacing w:line="360" w:lineRule="auto"/>
        <w:rPr>
          <w:sz w:val="24"/>
          <w:highlight w:val="none"/>
        </w:rPr>
      </w:pPr>
    </w:p>
    <w:p w14:paraId="36C934F7">
      <w:pPr>
        <w:spacing w:line="360" w:lineRule="auto"/>
        <w:rPr>
          <w:sz w:val="24"/>
          <w:highlight w:val="none"/>
        </w:rPr>
      </w:pPr>
      <w:r>
        <w:rPr>
          <w:rFonts w:hint="eastAsia"/>
          <w:sz w:val="24"/>
          <w:highlight w:val="none"/>
        </w:rPr>
        <w:t>项目名称：</w:t>
      </w:r>
    </w:p>
    <w:p w14:paraId="34F87705">
      <w:pPr>
        <w:spacing w:line="360" w:lineRule="auto"/>
        <w:rPr>
          <w:sz w:val="24"/>
          <w:highlight w:val="none"/>
        </w:rPr>
      </w:pPr>
      <w:r>
        <w:rPr>
          <w:rFonts w:hint="eastAsia"/>
          <w:sz w:val="24"/>
          <w:highlight w:val="none"/>
        </w:rPr>
        <w:t>项目编号：</w:t>
      </w:r>
    </w:p>
    <w:tbl>
      <w:tblPr>
        <w:tblStyle w:val="17"/>
        <w:tblW w:w="905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7"/>
        <w:gridCol w:w="3571"/>
        <w:gridCol w:w="2055"/>
        <w:gridCol w:w="1035"/>
        <w:gridCol w:w="1577"/>
      </w:tblGrid>
      <w:tr w14:paraId="62E716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817" w:type="dxa"/>
            <w:tcBorders>
              <w:top w:val="single" w:color="auto" w:sz="4" w:space="0"/>
              <w:bottom w:val="single" w:color="auto" w:sz="4" w:space="0"/>
              <w:right w:val="single" w:color="auto" w:sz="4" w:space="0"/>
            </w:tcBorders>
            <w:vAlign w:val="center"/>
          </w:tcPr>
          <w:p w14:paraId="28C47D5C">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序号</w:t>
            </w:r>
          </w:p>
        </w:tc>
        <w:tc>
          <w:tcPr>
            <w:tcW w:w="3571" w:type="dxa"/>
            <w:tcBorders>
              <w:top w:val="single" w:color="auto" w:sz="4" w:space="0"/>
              <w:bottom w:val="single" w:color="auto" w:sz="4" w:space="0"/>
              <w:right w:val="single" w:color="auto" w:sz="4" w:space="0"/>
            </w:tcBorders>
            <w:vAlign w:val="center"/>
          </w:tcPr>
          <w:p w14:paraId="3AB9B41C">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评分项目</w:t>
            </w:r>
          </w:p>
        </w:tc>
        <w:tc>
          <w:tcPr>
            <w:tcW w:w="2055" w:type="dxa"/>
            <w:tcBorders>
              <w:top w:val="single" w:color="auto" w:sz="4" w:space="0"/>
              <w:left w:val="single" w:color="auto" w:sz="4" w:space="0"/>
              <w:bottom w:val="single" w:color="auto" w:sz="4" w:space="0"/>
              <w:right w:val="single" w:color="auto" w:sz="4" w:space="0"/>
            </w:tcBorders>
            <w:vAlign w:val="center"/>
          </w:tcPr>
          <w:p w14:paraId="0ECCB815">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响应文件对应资料</w:t>
            </w:r>
          </w:p>
        </w:tc>
        <w:tc>
          <w:tcPr>
            <w:tcW w:w="1035" w:type="dxa"/>
            <w:tcBorders>
              <w:top w:val="single" w:color="auto" w:sz="4" w:space="0"/>
              <w:left w:val="single" w:color="auto" w:sz="4" w:space="0"/>
              <w:bottom w:val="single" w:color="auto" w:sz="4" w:space="0"/>
              <w:right w:val="single" w:color="auto" w:sz="4" w:space="0"/>
            </w:tcBorders>
            <w:vAlign w:val="center"/>
          </w:tcPr>
          <w:p w14:paraId="23219504">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自评分</w:t>
            </w:r>
          </w:p>
        </w:tc>
        <w:tc>
          <w:tcPr>
            <w:tcW w:w="1577" w:type="dxa"/>
            <w:tcBorders>
              <w:top w:val="single" w:color="auto" w:sz="4" w:space="0"/>
              <w:left w:val="single" w:color="auto" w:sz="4" w:space="0"/>
              <w:bottom w:val="single" w:color="auto" w:sz="4" w:space="0"/>
            </w:tcBorders>
            <w:vAlign w:val="center"/>
          </w:tcPr>
          <w:p w14:paraId="5E2E2372">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响应文件页码</w:t>
            </w:r>
          </w:p>
        </w:tc>
      </w:tr>
      <w:tr w14:paraId="709CD1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817" w:type="dxa"/>
            <w:tcBorders>
              <w:top w:val="single" w:color="auto" w:sz="4" w:space="0"/>
              <w:bottom w:val="single" w:color="auto" w:sz="4" w:space="0"/>
              <w:right w:val="single" w:color="auto" w:sz="4" w:space="0"/>
            </w:tcBorders>
            <w:vAlign w:val="center"/>
          </w:tcPr>
          <w:p w14:paraId="2B53C15D">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3113C056">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对应技术商务评分表</w:t>
            </w:r>
          </w:p>
          <w:p w14:paraId="0ADD58D4">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（报价除外）</w:t>
            </w:r>
          </w:p>
        </w:tc>
        <w:tc>
          <w:tcPr>
            <w:tcW w:w="2055" w:type="dxa"/>
            <w:tcBorders>
              <w:top w:val="single" w:color="auto" w:sz="4" w:space="0"/>
              <w:left w:val="single" w:color="auto" w:sz="4" w:space="0"/>
              <w:bottom w:val="single" w:color="auto" w:sz="4" w:space="0"/>
              <w:right w:val="single" w:color="auto" w:sz="4" w:space="0"/>
            </w:tcBorders>
            <w:vAlign w:val="center"/>
          </w:tcPr>
          <w:p w14:paraId="4496381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162C50D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67B7DD0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2DA84E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49D1643F">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21D0199C">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w:t>
            </w:r>
          </w:p>
        </w:tc>
        <w:tc>
          <w:tcPr>
            <w:tcW w:w="2055" w:type="dxa"/>
            <w:tcBorders>
              <w:top w:val="single" w:color="auto" w:sz="4" w:space="0"/>
              <w:left w:val="single" w:color="auto" w:sz="4" w:space="0"/>
              <w:bottom w:val="single" w:color="auto" w:sz="4" w:space="0"/>
              <w:right w:val="single" w:color="auto" w:sz="4" w:space="0"/>
            </w:tcBorders>
            <w:vAlign w:val="center"/>
          </w:tcPr>
          <w:p w14:paraId="6B28547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0806936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476F02A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12AD72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263842C6">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41DD6E9B">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6455C98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6A6E5B2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7DD8CA1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3988DB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2BEAC7B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646B000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352D433D">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10C96D7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044A93E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46CB31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2BEC688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229E0B9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1DD42EC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0C2974E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3EEEB0BF">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203F44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817" w:type="dxa"/>
            <w:tcBorders>
              <w:top w:val="single" w:color="auto" w:sz="4" w:space="0"/>
              <w:bottom w:val="single" w:color="auto" w:sz="4" w:space="0"/>
              <w:right w:val="single" w:color="auto" w:sz="4" w:space="0"/>
            </w:tcBorders>
            <w:vAlign w:val="center"/>
          </w:tcPr>
          <w:p w14:paraId="01BC4C9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1E377202">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5935FE2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0E585EE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36118969">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bl>
    <w:p w14:paraId="486861CF">
      <w:pPr>
        <w:rPr>
          <w:rFonts w:ascii="Times New Roman" w:hAnsi="Times New Roman" w:eastAsia="宋体" w:cs="Times New Roman"/>
          <w:color w:val="000000"/>
          <w:highlight w:val="none"/>
        </w:rPr>
      </w:pPr>
    </w:p>
    <w:p w14:paraId="38B70AE9">
      <w:pPr>
        <w:rPr>
          <w:rFonts w:ascii="Times New Roman" w:hAnsi="Times New Roman" w:eastAsia="宋体" w:cs="Times New Roman"/>
          <w:color w:val="000000"/>
          <w:sz w:val="24"/>
          <w:highlight w:val="none"/>
        </w:rPr>
      </w:pPr>
    </w:p>
    <w:p w14:paraId="1EA8B40D">
      <w:pPr>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法定代表人或授权委托人签字：</w:t>
      </w:r>
    </w:p>
    <w:p w14:paraId="74F1B1B5">
      <w:pPr>
        <w:rPr>
          <w:rFonts w:ascii="Times New Roman" w:hAnsi="Times New Roman" w:eastAsia="宋体" w:cs="Times New Roman"/>
          <w:color w:val="000000"/>
          <w:sz w:val="24"/>
          <w:highlight w:val="none"/>
        </w:rPr>
      </w:pPr>
    </w:p>
    <w:p w14:paraId="7917F3D3">
      <w:pPr>
        <w:rPr>
          <w:rFonts w:ascii="Times New Roman" w:hAnsi="Times New Roman" w:eastAsia="宋体" w:cs="Times New Roman"/>
          <w:color w:val="000000"/>
          <w:sz w:val="24"/>
          <w:highlight w:val="none"/>
        </w:rPr>
      </w:pPr>
    </w:p>
    <w:p w14:paraId="2BDD90E3">
      <w:pPr>
        <w:rPr>
          <w:rFonts w:ascii="Times New Roman" w:hAnsi="Times New Roman" w:eastAsia="宋体" w:cs="Times New Roman"/>
          <w:color w:val="000000"/>
          <w:sz w:val="24"/>
          <w:highlight w:val="none"/>
        </w:rPr>
      </w:pPr>
    </w:p>
    <w:p w14:paraId="5ACC1785">
      <w:pPr>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供应商全称公章：</w:t>
      </w:r>
    </w:p>
    <w:p w14:paraId="1DAE8681">
      <w:pPr>
        <w:spacing w:line="360" w:lineRule="auto"/>
        <w:rPr>
          <w:rFonts w:ascii="Times New Roman" w:hAnsi="Times New Roman" w:eastAsia="宋体" w:cs="Times New Roman"/>
          <w:sz w:val="24"/>
          <w:highlight w:val="none"/>
        </w:rPr>
      </w:pPr>
    </w:p>
    <w:p w14:paraId="323A9D0F">
      <w:pPr>
        <w:jc w:val="right"/>
        <w:rPr>
          <w:rFonts w:ascii="Times New Roman" w:hAnsi="Times New Roman" w:eastAsia="宋体" w:cs="Times New Roman"/>
          <w:sz w:val="24"/>
          <w:highlight w:val="none"/>
          <w:lang w:eastAsia="zh-Hans"/>
        </w:rPr>
      </w:pPr>
      <w:r>
        <w:rPr>
          <w:rFonts w:hint="eastAsia" w:ascii="Times New Roman" w:hAnsi="Times New Roman" w:eastAsia="宋体" w:cs="Times New Roman"/>
          <w:sz w:val="24"/>
          <w:highlight w:val="none"/>
          <w:lang w:eastAsia="zh-Hans"/>
        </w:rPr>
        <w:t>日期：年月日</w:t>
      </w:r>
    </w:p>
    <w:p w14:paraId="4EF951D6">
      <w:pPr>
        <w:numPr>
          <w:ilvl w:val="0"/>
          <w:numId w:val="8"/>
        </w:numPr>
        <w:jc w:val="left"/>
        <w:outlineLvl w:val="2"/>
        <w:rPr>
          <w:rFonts w:ascii="Times New Roman" w:hAnsi="Times New Roman" w:eastAsia="仿宋" w:cs="Times New Roman"/>
          <w:b/>
          <w:sz w:val="30"/>
          <w:szCs w:val="22"/>
          <w:highlight w:val="none"/>
        </w:rPr>
      </w:pPr>
      <w:r>
        <w:rPr>
          <w:rFonts w:hint="eastAsia" w:ascii="Times New Roman" w:hAnsi="Times New Roman" w:eastAsia="宋体" w:cs="Times New Roman"/>
          <w:szCs w:val="22"/>
          <w:highlight w:val="none"/>
          <w:lang w:eastAsia="zh-Hans"/>
        </w:rPr>
        <w:br w:type="page"/>
      </w:r>
      <w:r>
        <w:rPr>
          <w:rFonts w:hint="eastAsia" w:ascii="Times New Roman" w:hAnsi="Times New Roman" w:eastAsia="仿宋" w:cs="Times New Roman"/>
          <w:b/>
          <w:sz w:val="30"/>
          <w:szCs w:val="22"/>
          <w:highlight w:val="none"/>
        </w:rPr>
        <w:t>技术需求响应表</w:t>
      </w:r>
    </w:p>
    <w:p w14:paraId="44C713AC">
      <w:pPr>
        <w:spacing w:line="360" w:lineRule="auto"/>
        <w:rPr>
          <w:sz w:val="24"/>
          <w:highlight w:val="none"/>
        </w:rPr>
      </w:pPr>
    </w:p>
    <w:p w14:paraId="62C82825">
      <w:pPr>
        <w:spacing w:line="360" w:lineRule="auto"/>
        <w:rPr>
          <w:sz w:val="24"/>
          <w:highlight w:val="none"/>
        </w:rPr>
      </w:pPr>
      <w:r>
        <w:rPr>
          <w:rFonts w:hint="eastAsia"/>
          <w:sz w:val="24"/>
          <w:highlight w:val="none"/>
        </w:rPr>
        <w:t>项目名称：</w:t>
      </w:r>
    </w:p>
    <w:p w14:paraId="5CF3A25E">
      <w:pPr>
        <w:spacing w:line="360" w:lineRule="auto"/>
        <w:rPr>
          <w:highlight w:val="none"/>
        </w:rPr>
      </w:pPr>
      <w:r>
        <w:rPr>
          <w:rFonts w:hint="eastAsia"/>
          <w:sz w:val="24"/>
          <w:highlight w:val="none"/>
        </w:rPr>
        <w:t>项目编号：</w:t>
      </w:r>
    </w:p>
    <w:tbl>
      <w:tblPr>
        <w:tblStyle w:val="17"/>
        <w:tblW w:w="90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3158"/>
        <w:gridCol w:w="2265"/>
        <w:gridCol w:w="2285"/>
      </w:tblGrid>
      <w:tr w14:paraId="68725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347" w:type="dxa"/>
            <w:tcBorders>
              <w:bottom w:val="single" w:color="auto" w:sz="4" w:space="0"/>
            </w:tcBorders>
            <w:vAlign w:val="center"/>
          </w:tcPr>
          <w:p w14:paraId="07FD86D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序号</w:t>
            </w:r>
          </w:p>
        </w:tc>
        <w:tc>
          <w:tcPr>
            <w:tcW w:w="3158" w:type="dxa"/>
            <w:tcBorders>
              <w:bottom w:val="single" w:color="auto" w:sz="4" w:space="0"/>
            </w:tcBorders>
            <w:vAlign w:val="center"/>
          </w:tcPr>
          <w:p w14:paraId="17753A2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招标文件要求</w:t>
            </w:r>
          </w:p>
        </w:tc>
        <w:tc>
          <w:tcPr>
            <w:tcW w:w="2265" w:type="dxa"/>
            <w:tcBorders>
              <w:bottom w:val="single" w:color="auto" w:sz="4" w:space="0"/>
            </w:tcBorders>
            <w:vAlign w:val="center"/>
          </w:tcPr>
          <w:p w14:paraId="7292F961">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lang w:val="en-US" w:eastAsia="zh-CN"/>
              </w:rPr>
            </w:pPr>
            <w:r>
              <w:rPr>
                <w:rFonts w:hint="eastAsia" w:ascii="Times New Roman" w:hAnsi="Times New Roman" w:eastAsia="宋体" w:cs="Times New Roman"/>
                <w:kern w:val="0"/>
                <w:sz w:val="24"/>
                <w:highlight w:val="none"/>
                <w:lang w:val="en-US" w:eastAsia="zh-CN"/>
              </w:rPr>
              <w:t>响应情况</w:t>
            </w:r>
          </w:p>
        </w:tc>
        <w:tc>
          <w:tcPr>
            <w:tcW w:w="2285" w:type="dxa"/>
            <w:tcBorders>
              <w:bottom w:val="single" w:color="auto" w:sz="4" w:space="0"/>
            </w:tcBorders>
            <w:vAlign w:val="center"/>
          </w:tcPr>
          <w:p w14:paraId="7DE32069">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lang w:eastAsia="zh-CN"/>
              </w:rPr>
            </w:pPr>
            <w:r>
              <w:rPr>
                <w:rFonts w:hint="eastAsia" w:ascii="Times New Roman" w:hAnsi="Times New Roman" w:eastAsia="宋体" w:cs="Times New Roman"/>
                <w:kern w:val="0"/>
                <w:sz w:val="24"/>
                <w:highlight w:val="none"/>
                <w:lang w:val="en-US" w:eastAsia="zh-CN"/>
              </w:rPr>
              <w:t>备注</w:t>
            </w:r>
          </w:p>
        </w:tc>
      </w:tr>
      <w:tr w14:paraId="3072E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top w:val="single" w:color="auto" w:sz="4" w:space="0"/>
              <w:left w:val="single" w:color="auto" w:sz="4" w:space="0"/>
            </w:tcBorders>
            <w:vAlign w:val="center"/>
          </w:tcPr>
          <w:p w14:paraId="67F2343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default" w:ascii="Times New Roman" w:hAnsi="Times New Roman" w:eastAsia="Times New Roman" w:cs="Times New Roman"/>
                <w:kern w:val="0"/>
                <w:sz w:val="24"/>
                <w:highlight w:val="none"/>
              </w:rPr>
              <w:t>1</w:t>
            </w:r>
          </w:p>
        </w:tc>
        <w:tc>
          <w:tcPr>
            <w:tcW w:w="3158" w:type="dxa"/>
            <w:tcBorders>
              <w:top w:val="single" w:color="auto" w:sz="4" w:space="0"/>
            </w:tcBorders>
            <w:vAlign w:val="center"/>
          </w:tcPr>
          <w:p w14:paraId="5AF060A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tcBorders>
              <w:top w:val="single" w:color="auto" w:sz="4" w:space="0"/>
            </w:tcBorders>
            <w:vAlign w:val="center"/>
          </w:tcPr>
          <w:p w14:paraId="0209456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top w:val="single" w:color="auto" w:sz="4" w:space="0"/>
              <w:right w:val="single" w:color="auto" w:sz="4" w:space="0"/>
            </w:tcBorders>
            <w:vAlign w:val="center"/>
          </w:tcPr>
          <w:p w14:paraId="4A79CB6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569AC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tcBorders>
            <w:vAlign w:val="center"/>
          </w:tcPr>
          <w:p w14:paraId="06FB32E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2</w:t>
            </w:r>
          </w:p>
        </w:tc>
        <w:tc>
          <w:tcPr>
            <w:tcW w:w="3158" w:type="dxa"/>
            <w:vAlign w:val="center"/>
          </w:tcPr>
          <w:p w14:paraId="3563E12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vAlign w:val="center"/>
          </w:tcPr>
          <w:p w14:paraId="5B30AB8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right w:val="single" w:color="auto" w:sz="4" w:space="0"/>
            </w:tcBorders>
            <w:vAlign w:val="center"/>
          </w:tcPr>
          <w:p w14:paraId="24C2C1E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493A2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tcBorders>
            <w:vAlign w:val="center"/>
          </w:tcPr>
          <w:p w14:paraId="5990E87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w:t>
            </w:r>
          </w:p>
        </w:tc>
        <w:tc>
          <w:tcPr>
            <w:tcW w:w="3158" w:type="dxa"/>
            <w:vAlign w:val="center"/>
          </w:tcPr>
          <w:p w14:paraId="6C30D9B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vAlign w:val="center"/>
          </w:tcPr>
          <w:p w14:paraId="1FA5771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right w:val="single" w:color="auto" w:sz="4" w:space="0"/>
            </w:tcBorders>
            <w:vAlign w:val="center"/>
          </w:tcPr>
          <w:p w14:paraId="7D9A3B3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7A828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bottom w:val="single" w:color="auto" w:sz="4" w:space="0"/>
            </w:tcBorders>
            <w:vAlign w:val="center"/>
          </w:tcPr>
          <w:p w14:paraId="4C910D30">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w:t>
            </w:r>
          </w:p>
        </w:tc>
        <w:tc>
          <w:tcPr>
            <w:tcW w:w="3158" w:type="dxa"/>
            <w:tcBorders>
              <w:bottom w:val="single" w:color="auto" w:sz="4" w:space="0"/>
            </w:tcBorders>
            <w:vAlign w:val="center"/>
          </w:tcPr>
          <w:p w14:paraId="25376B2A">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tcBorders>
              <w:bottom w:val="single" w:color="auto" w:sz="4" w:space="0"/>
            </w:tcBorders>
            <w:vAlign w:val="center"/>
          </w:tcPr>
          <w:p w14:paraId="0A159FB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bottom w:val="single" w:color="auto" w:sz="4" w:space="0"/>
              <w:right w:val="single" w:color="auto" w:sz="4" w:space="0"/>
            </w:tcBorders>
            <w:vAlign w:val="center"/>
          </w:tcPr>
          <w:p w14:paraId="52EEDFF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bl>
    <w:p w14:paraId="429EB184">
      <w:pPr>
        <w:pStyle w:val="22"/>
        <w:ind w:firstLine="480"/>
        <w:rPr>
          <w:rFonts w:hint="default"/>
          <w:highlight w:val="none"/>
        </w:rPr>
      </w:pPr>
    </w:p>
    <w:p w14:paraId="15E667F2">
      <w:pPr>
        <w:pStyle w:val="22"/>
        <w:ind w:firstLine="480"/>
        <w:rPr>
          <w:rFonts w:hint="default"/>
          <w:highlight w:val="none"/>
        </w:rPr>
      </w:pPr>
      <w:r>
        <w:rPr>
          <w:highlight w:val="none"/>
        </w:rPr>
        <w:t>注：1.本表格若不填写，视同为完全响应招标文件要求，如投标文件其他承诺或方案内容与本响应表不一致，以本表内容为准。</w:t>
      </w:r>
    </w:p>
    <w:p w14:paraId="13FD2720">
      <w:pPr>
        <w:pStyle w:val="22"/>
        <w:ind w:firstLine="420" w:firstLineChars="0"/>
        <w:rPr>
          <w:rFonts w:hint="default"/>
          <w:highlight w:val="none"/>
        </w:rPr>
      </w:pPr>
    </w:p>
    <w:p w14:paraId="42320282">
      <w:pPr>
        <w:pStyle w:val="22"/>
        <w:ind w:firstLine="420" w:firstLineChars="0"/>
        <w:rPr>
          <w:rFonts w:hint="default"/>
          <w:highlight w:val="none"/>
        </w:rPr>
      </w:pPr>
      <w:r>
        <w:rPr>
          <w:highlight w:val="none"/>
        </w:rPr>
        <w:t>法定代表人或授权委托人签字：</w:t>
      </w:r>
    </w:p>
    <w:p w14:paraId="53AFF0B5">
      <w:pPr>
        <w:pStyle w:val="22"/>
        <w:ind w:firstLine="420" w:firstLineChars="0"/>
        <w:rPr>
          <w:rFonts w:hint="default"/>
          <w:highlight w:val="none"/>
        </w:rPr>
      </w:pPr>
    </w:p>
    <w:p w14:paraId="0A3F7848">
      <w:pPr>
        <w:pStyle w:val="22"/>
        <w:ind w:firstLine="420" w:firstLineChars="0"/>
        <w:rPr>
          <w:rFonts w:hint="default"/>
          <w:highlight w:val="none"/>
        </w:rPr>
      </w:pPr>
      <w:r>
        <w:rPr>
          <w:highlight w:val="none"/>
        </w:rPr>
        <w:t>供应商全称公章：</w:t>
      </w:r>
    </w:p>
    <w:p w14:paraId="15AA4DB5">
      <w:pPr>
        <w:pStyle w:val="22"/>
        <w:ind w:firstLine="420" w:firstLineChars="0"/>
        <w:jc w:val="right"/>
        <w:rPr>
          <w:rFonts w:hint="default" w:eastAsia="仿宋"/>
          <w:b/>
          <w:sz w:val="30"/>
          <w:szCs w:val="22"/>
          <w:highlight w:val="none"/>
        </w:rPr>
      </w:pPr>
      <w:r>
        <w:rPr>
          <w:highlight w:val="none"/>
          <w:lang w:eastAsia="zh-Hans"/>
        </w:rPr>
        <w:t>日期：年月日</w:t>
      </w:r>
      <w:r>
        <w:rPr>
          <w:rFonts w:eastAsia="仿宋"/>
          <w:b/>
          <w:sz w:val="30"/>
          <w:szCs w:val="22"/>
          <w:highlight w:val="none"/>
        </w:rPr>
        <w:br w:type="page"/>
      </w:r>
    </w:p>
    <w:p w14:paraId="7B132D9C">
      <w:pPr>
        <w:numPr>
          <w:ilvl w:val="0"/>
          <w:numId w:val="8"/>
        </w:numPr>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商务需求响应表</w:t>
      </w:r>
    </w:p>
    <w:p w14:paraId="4B38D893">
      <w:pPr>
        <w:pStyle w:val="3"/>
        <w:ind w:firstLine="0" w:firstLineChars="0"/>
        <w:rPr>
          <w:sz w:val="24"/>
          <w:szCs w:val="22"/>
          <w:highlight w:val="none"/>
        </w:rPr>
      </w:pPr>
    </w:p>
    <w:p w14:paraId="0DC81B16">
      <w:pPr>
        <w:spacing w:line="360" w:lineRule="auto"/>
        <w:rPr>
          <w:sz w:val="24"/>
          <w:highlight w:val="none"/>
        </w:rPr>
      </w:pPr>
      <w:r>
        <w:rPr>
          <w:rFonts w:hint="eastAsia"/>
          <w:sz w:val="24"/>
          <w:highlight w:val="none"/>
        </w:rPr>
        <w:t>项目名称：</w:t>
      </w:r>
    </w:p>
    <w:p w14:paraId="3C36C7BD">
      <w:pPr>
        <w:spacing w:line="360" w:lineRule="auto"/>
        <w:rPr>
          <w:sz w:val="24"/>
          <w:szCs w:val="22"/>
          <w:highlight w:val="none"/>
        </w:rPr>
      </w:pPr>
      <w:r>
        <w:rPr>
          <w:rFonts w:hint="eastAsia"/>
          <w:sz w:val="24"/>
          <w:highlight w:val="none"/>
        </w:rPr>
        <w:t>项目编号：</w:t>
      </w:r>
    </w:p>
    <w:tbl>
      <w:tblPr>
        <w:tblStyle w:val="17"/>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5"/>
        <w:gridCol w:w="2348"/>
        <w:gridCol w:w="2070"/>
        <w:gridCol w:w="2817"/>
      </w:tblGrid>
      <w:tr w14:paraId="779F2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30E9D28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项目</w:t>
            </w:r>
          </w:p>
        </w:tc>
        <w:tc>
          <w:tcPr>
            <w:tcW w:w="2348" w:type="dxa"/>
            <w:vAlign w:val="center"/>
          </w:tcPr>
          <w:p w14:paraId="4E61E2F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招标文件要求</w:t>
            </w:r>
          </w:p>
        </w:tc>
        <w:tc>
          <w:tcPr>
            <w:tcW w:w="2070" w:type="dxa"/>
            <w:vAlign w:val="center"/>
          </w:tcPr>
          <w:p w14:paraId="21F9159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是否响应</w:t>
            </w:r>
          </w:p>
        </w:tc>
        <w:tc>
          <w:tcPr>
            <w:tcW w:w="2817" w:type="dxa"/>
            <w:vAlign w:val="center"/>
          </w:tcPr>
          <w:p w14:paraId="6799F82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供应商的承诺和说明</w:t>
            </w:r>
          </w:p>
        </w:tc>
      </w:tr>
      <w:tr w14:paraId="785F3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4FB56284">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42610BB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3F37FA0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313A6AA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52EC5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4462BD02">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034C0C8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02C00A2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7987180B">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1C826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69A31612">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06F603C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6F26BF7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5617C08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18B9C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034E4035">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5CA9E2B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5363E62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3CC34F5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172E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2B726780">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Cs w:val="21"/>
                <w:highlight w:val="none"/>
              </w:rPr>
            </w:pPr>
          </w:p>
        </w:tc>
        <w:tc>
          <w:tcPr>
            <w:tcW w:w="2348" w:type="dxa"/>
            <w:vAlign w:val="center"/>
          </w:tcPr>
          <w:p w14:paraId="0FC5847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216EE2E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309C88F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2D573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0616A9D9">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Cs w:val="21"/>
                <w:highlight w:val="none"/>
              </w:rPr>
            </w:pPr>
          </w:p>
        </w:tc>
        <w:tc>
          <w:tcPr>
            <w:tcW w:w="2348" w:type="dxa"/>
            <w:vAlign w:val="center"/>
          </w:tcPr>
          <w:p w14:paraId="26D1D8E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40617FF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5FC27F1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bl>
    <w:p w14:paraId="79D1CE54">
      <w:pPr>
        <w:jc w:val="center"/>
        <w:rPr>
          <w:rFonts w:ascii="Times New Roman" w:hAnsi="Times New Roman" w:eastAsia="宋体" w:cs="Times New Roman"/>
          <w:szCs w:val="22"/>
          <w:highlight w:val="none"/>
        </w:rPr>
      </w:pPr>
    </w:p>
    <w:p w14:paraId="03EF28C1">
      <w:pPr>
        <w:pStyle w:val="22"/>
        <w:ind w:firstLine="420" w:firstLineChars="0"/>
        <w:rPr>
          <w:rFonts w:hint="default"/>
          <w:highlight w:val="none"/>
        </w:rPr>
      </w:pPr>
      <w:r>
        <w:rPr>
          <w:highlight w:val="none"/>
        </w:rPr>
        <w:t>本表格若不填写，视同为完全响应招标文件要求，如投标文件其他承诺或方案内容与本响应表不一致，以本表内容为准。</w:t>
      </w:r>
    </w:p>
    <w:p w14:paraId="5B2E3F6E">
      <w:pPr>
        <w:pStyle w:val="22"/>
        <w:ind w:firstLine="480"/>
        <w:rPr>
          <w:rFonts w:hint="default"/>
          <w:highlight w:val="none"/>
        </w:rPr>
      </w:pPr>
    </w:p>
    <w:p w14:paraId="41CE829A">
      <w:pPr>
        <w:pStyle w:val="22"/>
        <w:ind w:firstLine="0" w:firstLineChars="0"/>
        <w:rPr>
          <w:rFonts w:hint="default"/>
          <w:highlight w:val="none"/>
        </w:rPr>
      </w:pPr>
      <w:r>
        <w:rPr>
          <w:highlight w:val="none"/>
        </w:rPr>
        <w:t>法定代表人或授权委托人签字：</w:t>
      </w:r>
    </w:p>
    <w:p w14:paraId="5989DA82">
      <w:pPr>
        <w:pStyle w:val="22"/>
        <w:ind w:firstLine="480"/>
        <w:rPr>
          <w:rFonts w:hint="default"/>
          <w:highlight w:val="none"/>
        </w:rPr>
      </w:pPr>
    </w:p>
    <w:p w14:paraId="22334A9B">
      <w:pPr>
        <w:pStyle w:val="22"/>
        <w:ind w:firstLine="0" w:firstLineChars="0"/>
        <w:rPr>
          <w:rFonts w:hint="default"/>
          <w:highlight w:val="none"/>
        </w:rPr>
      </w:pPr>
      <w:r>
        <w:rPr>
          <w:highlight w:val="none"/>
        </w:rPr>
        <w:t>供应商全称公章：</w:t>
      </w:r>
    </w:p>
    <w:p w14:paraId="17BBD83D">
      <w:pPr>
        <w:pStyle w:val="22"/>
        <w:ind w:firstLine="480"/>
        <w:rPr>
          <w:rFonts w:hint="default"/>
          <w:highlight w:val="none"/>
        </w:rPr>
      </w:pPr>
    </w:p>
    <w:p w14:paraId="2CF4A992">
      <w:pPr>
        <w:pStyle w:val="22"/>
        <w:ind w:firstLine="0" w:firstLineChars="0"/>
        <w:rPr>
          <w:rFonts w:hint="default"/>
          <w:highlight w:val="none"/>
        </w:rPr>
      </w:pPr>
      <w:r>
        <w:rPr>
          <w:highlight w:val="none"/>
          <w:lang w:eastAsia="zh-Hans"/>
        </w:rPr>
        <w:t>日期：年月日</w:t>
      </w:r>
    </w:p>
    <w:p w14:paraId="28E04437">
      <w:pPr>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br w:type="page"/>
      </w:r>
    </w:p>
    <w:p w14:paraId="2CD1003F">
      <w:pPr>
        <w:numPr>
          <w:ilvl w:val="0"/>
          <w:numId w:val="8"/>
        </w:numPr>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企业业绩</w:t>
      </w:r>
    </w:p>
    <w:p w14:paraId="60097FA9">
      <w:pPr>
        <w:pStyle w:val="3"/>
        <w:ind w:firstLine="0" w:firstLineChars="0"/>
        <w:rPr>
          <w:rFonts w:ascii="宋体" w:hAnsi="宋体" w:cs="宋体"/>
          <w:sz w:val="24"/>
          <w:highlight w:val="none"/>
        </w:rPr>
      </w:pPr>
    </w:p>
    <w:tbl>
      <w:tblPr>
        <w:tblStyle w:val="17"/>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0A893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3611F6D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序号</w:t>
            </w:r>
          </w:p>
        </w:tc>
        <w:tc>
          <w:tcPr>
            <w:tcW w:w="1808" w:type="dxa"/>
            <w:vAlign w:val="center"/>
          </w:tcPr>
          <w:p w14:paraId="103F3D6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使用方</w:t>
            </w:r>
          </w:p>
        </w:tc>
        <w:tc>
          <w:tcPr>
            <w:tcW w:w="1808" w:type="dxa"/>
            <w:vAlign w:val="center"/>
          </w:tcPr>
          <w:p w14:paraId="552FA0E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项目名称</w:t>
            </w:r>
          </w:p>
        </w:tc>
        <w:tc>
          <w:tcPr>
            <w:tcW w:w="1808" w:type="dxa"/>
            <w:vAlign w:val="center"/>
          </w:tcPr>
          <w:p w14:paraId="0CBDA3D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成交金额</w:t>
            </w:r>
          </w:p>
          <w:p w14:paraId="6975CE2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（单位：元）</w:t>
            </w:r>
          </w:p>
        </w:tc>
        <w:tc>
          <w:tcPr>
            <w:tcW w:w="1808" w:type="dxa"/>
            <w:vAlign w:val="center"/>
          </w:tcPr>
          <w:p w14:paraId="5A72F3F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签订时间</w:t>
            </w:r>
          </w:p>
        </w:tc>
      </w:tr>
      <w:tr w14:paraId="38F89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1C67E85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4C9BB9F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7F81EC9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140DF57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1907896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r>
      <w:tr w14:paraId="1410A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5913D0B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06D1DD1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2FA2873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4311834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05DAE6A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r>
    </w:tbl>
    <w:p w14:paraId="5D7F20A9">
      <w:pPr>
        <w:rPr>
          <w:rFonts w:ascii="Times New Roman" w:hAnsi="Times New Roman" w:eastAsia="宋体" w:cs="Times New Roman"/>
          <w:szCs w:val="22"/>
          <w:highlight w:val="none"/>
        </w:rPr>
      </w:pPr>
    </w:p>
    <w:p w14:paraId="34307E1D">
      <w:pPr>
        <w:pStyle w:val="22"/>
        <w:ind w:firstLine="0" w:firstLineChars="0"/>
        <w:rPr>
          <w:rFonts w:hint="default"/>
          <w:highlight w:val="none"/>
        </w:rPr>
      </w:pPr>
      <w:r>
        <w:rPr>
          <w:highlight w:val="none"/>
        </w:rPr>
        <w:t>1.相关业绩是指供应商202</w:t>
      </w:r>
      <w:r>
        <w:rPr>
          <w:rFonts w:hint="eastAsia"/>
          <w:highlight w:val="none"/>
          <w:lang w:val="en-US" w:eastAsia="zh-CN"/>
        </w:rPr>
        <w:t>3</w:t>
      </w:r>
      <w:r>
        <w:rPr>
          <w:highlight w:val="none"/>
        </w:rPr>
        <w:t>年1月1日至今类似业绩；</w:t>
      </w:r>
    </w:p>
    <w:p w14:paraId="4D482EC0">
      <w:pPr>
        <w:pStyle w:val="22"/>
        <w:ind w:firstLine="0" w:firstLineChars="0"/>
        <w:rPr>
          <w:rFonts w:hint="default"/>
          <w:highlight w:val="none"/>
        </w:rPr>
      </w:pPr>
      <w:r>
        <w:rPr>
          <w:highlight w:val="none"/>
        </w:rPr>
        <w:t>2.此表仅提供表格形式，供应商应根据需要准备足够数量的表格来填写。</w:t>
      </w:r>
    </w:p>
    <w:p w14:paraId="1F039D82">
      <w:pPr>
        <w:pStyle w:val="22"/>
        <w:ind w:firstLine="480"/>
        <w:rPr>
          <w:rFonts w:hint="default"/>
          <w:highlight w:val="none"/>
        </w:rPr>
      </w:pPr>
    </w:p>
    <w:p w14:paraId="06919C55">
      <w:pPr>
        <w:pStyle w:val="22"/>
        <w:ind w:firstLine="0" w:firstLineChars="0"/>
        <w:rPr>
          <w:rFonts w:hint="default"/>
          <w:highlight w:val="none"/>
        </w:rPr>
      </w:pPr>
      <w:r>
        <w:rPr>
          <w:highlight w:val="none"/>
        </w:rPr>
        <w:t>法定代表人或授权委托人签字：</w:t>
      </w:r>
    </w:p>
    <w:p w14:paraId="320B9252">
      <w:pPr>
        <w:pStyle w:val="22"/>
        <w:ind w:firstLine="480"/>
        <w:rPr>
          <w:rFonts w:hint="default"/>
          <w:highlight w:val="none"/>
        </w:rPr>
      </w:pPr>
    </w:p>
    <w:p w14:paraId="5BBF0233">
      <w:pPr>
        <w:pStyle w:val="22"/>
        <w:ind w:firstLine="0" w:firstLineChars="0"/>
        <w:rPr>
          <w:rFonts w:hint="default"/>
          <w:highlight w:val="none"/>
        </w:rPr>
      </w:pPr>
      <w:r>
        <w:rPr>
          <w:highlight w:val="none"/>
        </w:rPr>
        <w:t>供应商全称公章：</w:t>
      </w:r>
    </w:p>
    <w:p w14:paraId="223368D2">
      <w:pPr>
        <w:pStyle w:val="22"/>
        <w:ind w:firstLine="480"/>
        <w:rPr>
          <w:rFonts w:hint="default"/>
          <w:highlight w:val="none"/>
        </w:rPr>
      </w:pPr>
    </w:p>
    <w:p w14:paraId="3295AD12">
      <w:pPr>
        <w:pStyle w:val="22"/>
        <w:ind w:firstLine="0" w:firstLineChars="0"/>
        <w:rPr>
          <w:rFonts w:hint="default"/>
          <w:highlight w:val="none"/>
        </w:rPr>
      </w:pPr>
      <w:r>
        <w:rPr>
          <w:highlight w:val="none"/>
          <w:lang w:eastAsia="zh-Hans"/>
        </w:rPr>
        <w:t>日期：年月日</w:t>
      </w:r>
    </w:p>
    <w:p w14:paraId="0058B0CE">
      <w:pPr>
        <w:rPr>
          <w:rFonts w:ascii="Times New Roman" w:hAnsi="Times New Roman" w:eastAsia="宋体" w:cs="Times New Roman"/>
          <w:b/>
          <w:sz w:val="30"/>
          <w:szCs w:val="30"/>
          <w:highlight w:val="none"/>
        </w:rPr>
      </w:pPr>
    </w:p>
    <w:p w14:paraId="6A568BE6">
      <w:pPr>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br w:type="page"/>
      </w:r>
    </w:p>
    <w:p w14:paraId="544B40A8">
      <w:pPr>
        <w:pStyle w:val="22"/>
        <w:numPr>
          <w:ilvl w:val="0"/>
          <w:numId w:val="0"/>
        </w:numPr>
        <w:ind w:left="420" w:leftChars="0"/>
        <w:rPr>
          <w:rFonts w:ascii="仿宋" w:hAnsi="仿宋" w:eastAsia="仿宋" w:cs="仿宋"/>
        </w:rPr>
      </w:pPr>
      <w:r>
        <w:rPr>
          <w:rFonts w:hint="eastAsia" w:ascii="仿宋" w:hAnsi="仿宋" w:eastAsia="仿宋" w:cs="仿宋"/>
        </w:rPr>
        <w:t>维保方案与技术措施</w:t>
      </w:r>
      <w:r>
        <w:rPr>
          <w:rFonts w:hint="eastAsia" w:ascii="仿宋" w:hAnsi="仿宋" w:eastAsia="仿宋" w:cs="仿宋"/>
          <w:lang w:eastAsia="zh-CN"/>
        </w:rPr>
        <w:t>；</w:t>
      </w:r>
    </w:p>
    <w:p w14:paraId="588F9848">
      <w:pPr>
        <w:pStyle w:val="22"/>
        <w:numPr>
          <w:ilvl w:val="0"/>
          <w:numId w:val="0"/>
        </w:numPr>
        <w:ind w:left="420" w:leftChars="0"/>
        <w:rPr>
          <w:rFonts w:ascii="仿宋" w:hAnsi="仿宋" w:eastAsia="仿宋" w:cs="仿宋"/>
        </w:rPr>
      </w:pPr>
      <w:r>
        <w:rPr>
          <w:rFonts w:hint="default" w:ascii="Times New Roman" w:hAnsi="Times New Roman" w:eastAsia="仿宋" w:cs="Times New Roman"/>
          <w:color w:val="auto"/>
          <w:sz w:val="24"/>
          <w:szCs w:val="24"/>
        </w:rPr>
        <w:t>质量管理体系与保证措施</w:t>
      </w:r>
      <w:r>
        <w:rPr>
          <w:rFonts w:hint="eastAsia" w:ascii="Times New Roman" w:hAnsi="Times New Roman" w:eastAsia="仿宋" w:cs="Times New Roman"/>
          <w:color w:val="auto"/>
          <w:sz w:val="24"/>
          <w:szCs w:val="24"/>
          <w:lang w:eastAsia="zh-CN"/>
        </w:rPr>
        <w:t>；</w:t>
      </w:r>
    </w:p>
    <w:p w14:paraId="7D2B8DDB">
      <w:pPr>
        <w:pStyle w:val="22"/>
        <w:numPr>
          <w:ilvl w:val="0"/>
          <w:numId w:val="0"/>
        </w:numPr>
        <w:ind w:left="420" w:leftChars="0"/>
        <w:rPr>
          <w:rFonts w:ascii="仿宋" w:hAnsi="仿宋" w:eastAsia="仿宋" w:cs="仿宋"/>
        </w:rPr>
      </w:pPr>
      <w:r>
        <w:rPr>
          <w:rFonts w:hint="default" w:ascii="Times New Roman" w:hAnsi="Times New Roman" w:eastAsia="仿宋" w:cs="Times New Roman"/>
          <w:color w:val="auto"/>
          <w:sz w:val="24"/>
          <w:szCs w:val="24"/>
        </w:rPr>
        <w:t>安全文明施工措施</w:t>
      </w:r>
      <w:r>
        <w:rPr>
          <w:rFonts w:hint="eastAsia" w:ascii="Times New Roman" w:hAnsi="Times New Roman" w:eastAsia="仿宋" w:cs="Times New Roman"/>
          <w:color w:val="auto"/>
          <w:sz w:val="24"/>
          <w:szCs w:val="24"/>
          <w:lang w:eastAsia="zh-CN"/>
        </w:rPr>
        <w:t>；</w:t>
      </w:r>
    </w:p>
    <w:p w14:paraId="1C323A51">
      <w:pPr>
        <w:pStyle w:val="22"/>
        <w:numPr>
          <w:ilvl w:val="0"/>
          <w:numId w:val="0"/>
        </w:numPr>
        <w:ind w:left="420" w:leftChars="0"/>
        <w:rPr>
          <w:rFonts w:ascii="仿宋" w:hAnsi="仿宋" w:eastAsia="仿宋" w:cs="仿宋"/>
        </w:rPr>
      </w:pPr>
      <w:r>
        <w:rPr>
          <w:rFonts w:hint="default" w:ascii="Times New Roman" w:hAnsi="Times New Roman" w:eastAsia="仿宋" w:cs="Times New Roman"/>
          <w:color w:val="auto"/>
          <w:sz w:val="24"/>
          <w:szCs w:val="24"/>
          <w:lang w:eastAsia="zh-CN"/>
        </w:rPr>
        <w:t>项目</w:t>
      </w:r>
      <w:r>
        <w:rPr>
          <w:rFonts w:hint="default" w:ascii="Times New Roman" w:hAnsi="Times New Roman" w:eastAsia="仿宋" w:cs="Times New Roman"/>
          <w:color w:val="auto"/>
          <w:sz w:val="24"/>
          <w:szCs w:val="24"/>
        </w:rPr>
        <w:t>进度计划与措施</w:t>
      </w:r>
      <w:r>
        <w:rPr>
          <w:rFonts w:hint="eastAsia" w:ascii="Times New Roman" w:hAnsi="Times New Roman" w:eastAsia="仿宋" w:cs="Times New Roman"/>
          <w:color w:val="auto"/>
          <w:sz w:val="24"/>
          <w:szCs w:val="24"/>
          <w:lang w:eastAsia="zh-CN"/>
        </w:rPr>
        <w:t>；</w:t>
      </w:r>
    </w:p>
    <w:p w14:paraId="5E10CB1C">
      <w:pPr>
        <w:pStyle w:val="22"/>
        <w:numPr>
          <w:ilvl w:val="0"/>
          <w:numId w:val="0"/>
        </w:numPr>
        <w:ind w:left="420" w:leftChars="0"/>
        <w:rPr>
          <w:rFonts w:ascii="仿宋" w:hAnsi="仿宋" w:eastAsia="仿宋" w:cs="仿宋"/>
        </w:rPr>
      </w:pPr>
      <w:r>
        <w:rPr>
          <w:rFonts w:hint="default" w:ascii="Times New Roman" w:hAnsi="Times New Roman" w:eastAsia="仿宋" w:cs="Times New Roman"/>
          <w:color w:val="auto"/>
          <w:sz w:val="24"/>
          <w:szCs w:val="24"/>
        </w:rPr>
        <w:t>所投产品性能</w:t>
      </w:r>
      <w:r>
        <w:rPr>
          <w:rFonts w:hint="eastAsia" w:ascii="Times New Roman" w:hAnsi="Times New Roman" w:eastAsia="仿宋" w:cs="Times New Roman"/>
          <w:color w:val="auto"/>
          <w:sz w:val="24"/>
          <w:szCs w:val="24"/>
          <w:lang w:eastAsia="zh-CN"/>
        </w:rPr>
        <w:t>；</w:t>
      </w:r>
    </w:p>
    <w:p w14:paraId="1E3DF500">
      <w:pPr>
        <w:pStyle w:val="22"/>
        <w:numPr>
          <w:ilvl w:val="0"/>
          <w:numId w:val="0"/>
        </w:numPr>
        <w:ind w:left="420" w:leftChars="0"/>
        <w:rPr>
          <w:rFonts w:ascii="仿宋" w:hAnsi="仿宋" w:eastAsia="仿宋" w:cs="仿宋"/>
        </w:rPr>
      </w:pPr>
      <w:r>
        <w:rPr>
          <w:rFonts w:hint="default" w:ascii="Times New Roman" w:hAnsi="Times New Roman" w:eastAsia="仿宋" w:cs="Times New Roman"/>
          <w:color w:val="auto"/>
          <w:sz w:val="24"/>
          <w:szCs w:val="24"/>
          <w:lang w:eastAsia="zh-CN"/>
        </w:rPr>
        <w:t>人员配置方案</w:t>
      </w:r>
      <w:r>
        <w:rPr>
          <w:rFonts w:hint="eastAsia" w:ascii="Times New Roman" w:hAnsi="Times New Roman" w:eastAsia="仿宋" w:cs="Times New Roman"/>
          <w:color w:val="auto"/>
          <w:sz w:val="24"/>
          <w:szCs w:val="24"/>
          <w:lang w:eastAsia="zh-CN"/>
        </w:rPr>
        <w:t>；</w:t>
      </w:r>
    </w:p>
    <w:p w14:paraId="679C2074">
      <w:pPr>
        <w:pStyle w:val="22"/>
        <w:numPr>
          <w:ilvl w:val="0"/>
          <w:numId w:val="0"/>
        </w:numPr>
        <w:ind w:left="420" w:leftChars="0"/>
        <w:rPr>
          <w:rFonts w:ascii="仿宋" w:hAnsi="仿宋" w:eastAsia="仿宋" w:cs="仿宋"/>
        </w:rPr>
      </w:pPr>
      <w:r>
        <w:rPr>
          <w:rFonts w:hint="default" w:ascii="Times New Roman" w:hAnsi="Times New Roman" w:eastAsia="仿宋" w:cs="Times New Roman"/>
          <w:color w:val="auto"/>
          <w:sz w:val="24"/>
          <w:szCs w:val="24"/>
        </w:rPr>
        <w:t>服务承诺</w:t>
      </w:r>
      <w:r>
        <w:rPr>
          <w:rFonts w:hint="default" w:ascii="Times New Roman" w:hAnsi="Times New Roman" w:eastAsia="仿宋" w:cs="Times New Roman"/>
          <w:color w:val="auto"/>
          <w:sz w:val="24"/>
          <w:szCs w:val="24"/>
          <w:lang w:eastAsia="zh-CN"/>
        </w:rPr>
        <w:t>及优惠承诺</w:t>
      </w:r>
      <w:r>
        <w:rPr>
          <w:rFonts w:hint="eastAsia" w:ascii="Times New Roman" w:hAnsi="Times New Roman" w:eastAsia="仿宋" w:cs="Times New Roman"/>
          <w:color w:val="auto"/>
          <w:sz w:val="24"/>
          <w:szCs w:val="24"/>
          <w:lang w:eastAsia="zh-CN"/>
        </w:rPr>
        <w:t>；</w:t>
      </w:r>
    </w:p>
    <w:p w14:paraId="575199CC">
      <w:pPr>
        <w:pStyle w:val="22"/>
        <w:numPr>
          <w:ilvl w:val="0"/>
          <w:numId w:val="0"/>
        </w:numPr>
        <w:ind w:left="420" w:leftChars="0"/>
        <w:rPr>
          <w:rFonts w:ascii="仿宋" w:hAnsi="仿宋" w:eastAsia="仿宋" w:cs="仿宋"/>
        </w:rPr>
      </w:pPr>
      <w:r>
        <w:rPr>
          <w:rFonts w:hint="default" w:ascii="Times New Roman" w:hAnsi="Times New Roman" w:eastAsia="仿宋" w:cs="Times New Roman"/>
          <w:color w:val="auto"/>
          <w:sz w:val="24"/>
          <w:szCs w:val="24"/>
          <w:lang w:eastAsia="zh-CN"/>
        </w:rPr>
        <w:t>技术培训方案</w:t>
      </w:r>
      <w:r>
        <w:rPr>
          <w:rFonts w:hint="eastAsia" w:ascii="Times New Roman" w:hAnsi="Times New Roman" w:eastAsia="仿宋" w:cs="Times New Roman"/>
          <w:color w:val="auto"/>
          <w:sz w:val="24"/>
          <w:szCs w:val="24"/>
          <w:lang w:eastAsia="zh-CN"/>
        </w:rPr>
        <w:t>；</w:t>
      </w:r>
    </w:p>
    <w:p w14:paraId="6A687843">
      <w:pPr>
        <w:pStyle w:val="22"/>
        <w:numPr>
          <w:ilvl w:val="0"/>
          <w:numId w:val="0"/>
        </w:numPr>
        <w:ind w:left="420" w:leftChars="0"/>
        <w:rPr>
          <w:rFonts w:ascii="仿宋" w:hAnsi="仿宋" w:eastAsia="仿宋" w:cs="仿宋"/>
        </w:rPr>
      </w:pPr>
      <w:r>
        <w:rPr>
          <w:rFonts w:hint="default" w:ascii="Times New Roman" w:hAnsi="Times New Roman" w:eastAsia="仿宋" w:cs="Times New Roman"/>
          <w:color w:val="auto"/>
          <w:sz w:val="24"/>
          <w:szCs w:val="24"/>
        </w:rPr>
        <w:t>项目业绩</w:t>
      </w:r>
      <w:r>
        <w:rPr>
          <w:rFonts w:hint="eastAsia" w:ascii="Times New Roman" w:hAnsi="Times New Roman" w:eastAsia="仿宋" w:cs="Times New Roman"/>
          <w:color w:val="auto"/>
          <w:sz w:val="24"/>
          <w:szCs w:val="24"/>
          <w:lang w:eastAsia="zh-CN"/>
        </w:rPr>
        <w:t>；</w:t>
      </w:r>
    </w:p>
    <w:p w14:paraId="12EFBB14">
      <w:pPr>
        <w:pStyle w:val="22"/>
        <w:numPr>
          <w:ilvl w:val="0"/>
          <w:numId w:val="0"/>
        </w:numPr>
        <w:ind w:left="420" w:leftChars="0"/>
        <w:rPr>
          <w:rFonts w:ascii="仿宋" w:hAnsi="仿宋" w:eastAsia="仿宋" w:cs="仿宋"/>
        </w:rPr>
      </w:pPr>
      <w:r>
        <w:rPr>
          <w:rFonts w:hint="default" w:ascii="Times New Roman" w:hAnsi="Times New Roman" w:eastAsia="仿宋" w:cs="Times New Roman"/>
          <w:color w:val="auto"/>
          <w:sz w:val="24"/>
          <w:szCs w:val="24"/>
        </w:rPr>
        <w:t>运维业绩</w:t>
      </w:r>
      <w:r>
        <w:rPr>
          <w:rFonts w:hint="eastAsia" w:ascii="Times New Roman" w:hAnsi="Times New Roman" w:eastAsia="仿宋" w:cs="Times New Roman"/>
          <w:color w:val="auto"/>
          <w:sz w:val="24"/>
          <w:szCs w:val="24"/>
          <w:lang w:eastAsia="zh-CN"/>
        </w:rPr>
        <w:t>。</w:t>
      </w:r>
    </w:p>
    <w:p w14:paraId="6254F7E6">
      <w:pPr>
        <w:numPr>
          <w:ilvl w:val="0"/>
          <w:numId w:val="8"/>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br w:type="page"/>
      </w:r>
    </w:p>
    <w:p w14:paraId="6D492930">
      <w:pPr>
        <w:pStyle w:val="3"/>
        <w:ind w:firstLine="0" w:firstLineChars="0"/>
        <w:rPr>
          <w:highlight w:val="none"/>
        </w:rPr>
      </w:pPr>
      <w:bookmarkStart w:id="1" w:name="附录5"/>
      <w:r>
        <w:rPr>
          <w:rFonts w:hint="eastAsia"/>
          <w:highlight w:val="none"/>
        </w:rPr>
        <w:t>附件</w:t>
      </w:r>
      <w:r>
        <w:rPr>
          <w:rFonts w:hint="eastAsia"/>
          <w:highlight w:val="none"/>
          <w:lang w:val="en-US" w:eastAsia="zh-CN"/>
        </w:rPr>
        <w:t>4</w:t>
      </w:r>
    </w:p>
    <w:bookmarkEnd w:id="1"/>
    <w:p w14:paraId="158BF0BC">
      <w:pPr>
        <w:ind w:firstLine="480"/>
        <w:jc w:val="right"/>
        <w:rPr>
          <w:rFonts w:ascii="Times New Roman" w:hAnsi="Times New Roman" w:eastAsia="宋体" w:cs="Times New Roman"/>
          <w:sz w:val="40"/>
          <w:szCs w:val="36"/>
          <w:highlight w:val="none"/>
        </w:rPr>
      </w:pPr>
      <w:r>
        <w:rPr>
          <w:rFonts w:hint="eastAsia" w:ascii="Times New Roman" w:hAnsi="Times New Roman" w:eastAsia="宋体" w:cs="Times New Roman"/>
          <w:sz w:val="40"/>
          <w:szCs w:val="36"/>
          <w:highlight w:val="none"/>
        </w:rPr>
        <w:t>正本/副本</w:t>
      </w:r>
    </w:p>
    <w:p w14:paraId="0F359C9C">
      <w:pPr>
        <w:jc w:val="center"/>
        <w:rPr>
          <w:rFonts w:ascii="Times New Roman" w:hAnsi="Times New Roman" w:eastAsia="宋体" w:cs="Times New Roman"/>
          <w:sz w:val="96"/>
          <w:szCs w:val="72"/>
          <w:highlight w:val="none"/>
        </w:rPr>
      </w:pPr>
    </w:p>
    <w:p w14:paraId="5CC8D1CB">
      <w:pPr>
        <w:jc w:val="center"/>
        <w:rPr>
          <w:rFonts w:ascii="Times New Roman" w:hAnsi="Times New Roman" w:eastAsia="宋体" w:cs="Times New Roman"/>
          <w:sz w:val="96"/>
          <w:szCs w:val="72"/>
          <w:highlight w:val="none"/>
        </w:rPr>
      </w:pPr>
    </w:p>
    <w:p w14:paraId="76D28654">
      <w:pPr>
        <w:jc w:val="center"/>
        <w:rPr>
          <w:rFonts w:ascii="Times New Roman" w:hAnsi="Times New Roman" w:eastAsia="宋体" w:cs="Times New Roman"/>
          <w:sz w:val="56"/>
          <w:szCs w:val="52"/>
          <w:highlight w:val="none"/>
        </w:rPr>
      </w:pPr>
    </w:p>
    <w:p w14:paraId="44503C10">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报价文件</w:t>
      </w:r>
    </w:p>
    <w:p w14:paraId="7834E4B7">
      <w:pPr>
        <w:jc w:val="center"/>
        <w:rPr>
          <w:rFonts w:ascii="Times New Roman" w:hAnsi="Times New Roman" w:eastAsia="宋体" w:cs="Times New Roman"/>
          <w:sz w:val="96"/>
          <w:szCs w:val="72"/>
          <w:highlight w:val="none"/>
        </w:rPr>
      </w:pPr>
    </w:p>
    <w:p w14:paraId="58CBE7EA">
      <w:pPr>
        <w:jc w:val="center"/>
        <w:rPr>
          <w:rFonts w:ascii="Times New Roman" w:hAnsi="Times New Roman" w:eastAsia="宋体" w:cs="Times New Roman"/>
          <w:sz w:val="56"/>
          <w:szCs w:val="52"/>
          <w:highlight w:val="none"/>
        </w:rPr>
      </w:pPr>
    </w:p>
    <w:p w14:paraId="3FBE9E91">
      <w:pPr>
        <w:pStyle w:val="3"/>
        <w:ind w:firstLine="280"/>
        <w:rPr>
          <w:highlight w:val="none"/>
        </w:rPr>
      </w:pPr>
      <w:r>
        <w:rPr>
          <w:rFonts w:hint="eastAsia"/>
          <w:highlight w:val="none"/>
        </w:rPr>
        <w:t>项目名称：</w:t>
      </w:r>
    </w:p>
    <w:p w14:paraId="1B14D9C5">
      <w:pPr>
        <w:pStyle w:val="3"/>
        <w:ind w:firstLine="280"/>
        <w:rPr>
          <w:highlight w:val="none"/>
        </w:rPr>
      </w:pPr>
      <w:r>
        <w:rPr>
          <w:rFonts w:hint="eastAsia"/>
          <w:highlight w:val="none"/>
        </w:rPr>
        <w:t>项目编号：</w:t>
      </w:r>
    </w:p>
    <w:p w14:paraId="38EBE84C">
      <w:pPr>
        <w:pStyle w:val="3"/>
        <w:ind w:firstLine="280"/>
        <w:rPr>
          <w:highlight w:val="none"/>
        </w:rPr>
      </w:pPr>
      <w:r>
        <w:rPr>
          <w:rFonts w:hint="eastAsia"/>
          <w:highlight w:val="none"/>
        </w:rPr>
        <w:t>投标人名称：</w:t>
      </w:r>
    </w:p>
    <w:p w14:paraId="21FA718D">
      <w:pPr>
        <w:pStyle w:val="3"/>
        <w:ind w:firstLine="280"/>
        <w:rPr>
          <w:highlight w:val="none"/>
        </w:rPr>
      </w:pPr>
      <w:r>
        <w:rPr>
          <w:rFonts w:hint="eastAsia"/>
          <w:highlight w:val="none"/>
        </w:rPr>
        <w:t>投标人地址：</w:t>
      </w:r>
    </w:p>
    <w:p w14:paraId="17C8B7B7">
      <w:pPr>
        <w:pStyle w:val="3"/>
        <w:ind w:firstLine="280"/>
        <w:rPr>
          <w:highlight w:val="none"/>
        </w:rPr>
      </w:pPr>
      <w:r>
        <w:rPr>
          <w:rFonts w:hint="eastAsia"/>
          <w:highlight w:val="none"/>
        </w:rPr>
        <w:t>在年月日时分之前不得启封</w:t>
      </w:r>
    </w:p>
    <w:p w14:paraId="70A6D72C">
      <w:pPr>
        <w:ind w:firstLine="480"/>
        <w:jc w:val="right"/>
        <w:rPr>
          <w:rFonts w:ascii="Times New Roman" w:hAnsi="Times New Roman" w:eastAsia="宋体" w:cs="Times New Roman"/>
          <w:b/>
          <w:sz w:val="32"/>
          <w:highlight w:val="none"/>
        </w:rPr>
      </w:pPr>
      <w:r>
        <w:rPr>
          <w:rFonts w:hint="eastAsia" w:ascii="Times New Roman" w:hAnsi="Times New Roman" w:eastAsia="宋体" w:cs="Times New Roman"/>
          <w:sz w:val="28"/>
          <w:highlight w:val="none"/>
        </w:rPr>
        <w:t>年月日</w:t>
      </w:r>
    </w:p>
    <w:p w14:paraId="6D2E642D">
      <w:pPr>
        <w:rPr>
          <w:rFonts w:ascii="Times New Roman" w:hAnsi="Times New Roman" w:eastAsia="宋体" w:cs="Times New Roman"/>
          <w:b/>
          <w:sz w:val="32"/>
          <w:highlight w:val="none"/>
        </w:rPr>
      </w:pPr>
      <w:r>
        <w:rPr>
          <w:rFonts w:hint="eastAsia" w:ascii="Times New Roman" w:hAnsi="Times New Roman" w:eastAsia="宋体" w:cs="Times New Roman"/>
          <w:b/>
          <w:sz w:val="32"/>
          <w:highlight w:val="none"/>
        </w:rPr>
        <w:br w:type="page"/>
      </w:r>
    </w:p>
    <w:p w14:paraId="75D0B370">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一、投标响应函</w:t>
      </w:r>
    </w:p>
    <w:p w14:paraId="7FA2A007">
      <w:pPr>
        <w:pStyle w:val="22"/>
        <w:ind w:firstLine="0" w:firstLineChars="0"/>
        <w:rPr>
          <w:rFonts w:hint="default"/>
          <w:highlight w:val="none"/>
        </w:rPr>
      </w:pPr>
      <w:r>
        <w:rPr>
          <w:highlight w:val="none"/>
        </w:rPr>
        <w:t>致湖州学院：</w:t>
      </w:r>
    </w:p>
    <w:p w14:paraId="40891047">
      <w:pPr>
        <w:pStyle w:val="22"/>
        <w:ind w:firstLine="480"/>
        <w:rPr>
          <w:rFonts w:hint="default"/>
          <w:highlight w:val="none"/>
        </w:rPr>
      </w:pPr>
      <w:r>
        <w:rPr>
          <w:highlight w:val="none"/>
        </w:rPr>
        <w:t>本人（姓名），身份证号：，系（供应商名称）的法定代表人，现授权（姓名），身份证号：，为授权委托人。以我方的名义参加编号：，名称</w:t>
      </w:r>
      <w:r>
        <w:rPr>
          <w:highlight w:val="none"/>
          <w:u w:val="single"/>
        </w:rPr>
        <w:t>：</w:t>
      </w:r>
      <w:r>
        <w:rPr>
          <w:highlight w:val="none"/>
        </w:rPr>
        <w:t>，的投标活动，并进行投标。为此：</w:t>
      </w:r>
    </w:p>
    <w:p w14:paraId="695E5215">
      <w:pPr>
        <w:pStyle w:val="22"/>
        <w:ind w:firstLine="480"/>
        <w:rPr>
          <w:rFonts w:hint="default"/>
          <w:highlight w:val="none"/>
        </w:rPr>
      </w:pPr>
      <w:r>
        <w:rPr>
          <w:highlight w:val="none"/>
        </w:rPr>
        <w:t>1</w:t>
      </w:r>
      <w:r>
        <w:rPr>
          <w:rFonts w:hint="eastAsia"/>
          <w:highlight w:val="none"/>
          <w:lang w:val="en-US" w:eastAsia="zh-CN"/>
        </w:rPr>
        <w:t>.</w:t>
      </w:r>
      <w:r>
        <w:rPr>
          <w:highlight w:val="none"/>
        </w:rPr>
        <w:t>总投标价格详见开标一览表。</w:t>
      </w:r>
    </w:p>
    <w:p w14:paraId="7B8193AC">
      <w:pPr>
        <w:pStyle w:val="22"/>
        <w:ind w:firstLine="480"/>
        <w:rPr>
          <w:rFonts w:hint="default"/>
          <w:highlight w:val="none"/>
        </w:rPr>
      </w:pPr>
      <w:r>
        <w:rPr>
          <w:highlight w:val="none"/>
        </w:rPr>
        <w:t>2</w:t>
      </w:r>
      <w:r>
        <w:rPr>
          <w:rFonts w:hint="eastAsia"/>
          <w:highlight w:val="none"/>
          <w:lang w:val="en-US" w:eastAsia="zh-CN"/>
        </w:rPr>
        <w:t>.</w:t>
      </w:r>
      <w:r>
        <w:rPr>
          <w:highlight w:val="none"/>
        </w:rPr>
        <w:t>我单位保证遵守招标文件中的有关规定，并保证忠实地执行甲乙双方所签的经济合同，并承担合同规定的责任义务。</w:t>
      </w:r>
    </w:p>
    <w:p w14:paraId="5D0D7394">
      <w:pPr>
        <w:pStyle w:val="22"/>
        <w:ind w:firstLine="480"/>
        <w:rPr>
          <w:rFonts w:hint="default"/>
          <w:highlight w:val="none"/>
        </w:rPr>
      </w:pPr>
      <w:r>
        <w:rPr>
          <w:highlight w:val="none"/>
        </w:rPr>
        <w:t>3</w:t>
      </w:r>
      <w:r>
        <w:rPr>
          <w:rFonts w:hint="eastAsia"/>
          <w:highlight w:val="none"/>
          <w:lang w:val="en-US" w:eastAsia="zh-CN"/>
        </w:rPr>
        <w:t>.</w:t>
      </w:r>
      <w:r>
        <w:rPr>
          <w:highlight w:val="none"/>
        </w:rPr>
        <w:t>我单位同意按采购人要求提供任何与本项投标有关的数据、情况和资料。</w:t>
      </w:r>
    </w:p>
    <w:p w14:paraId="7F793567">
      <w:pPr>
        <w:pStyle w:val="22"/>
        <w:ind w:firstLine="480"/>
        <w:rPr>
          <w:rFonts w:hint="default"/>
          <w:highlight w:val="none"/>
        </w:rPr>
      </w:pPr>
      <w:r>
        <w:rPr>
          <w:highlight w:val="none"/>
        </w:rPr>
        <w:t>4</w:t>
      </w:r>
      <w:r>
        <w:rPr>
          <w:rFonts w:hint="eastAsia"/>
          <w:highlight w:val="none"/>
          <w:lang w:val="en-US" w:eastAsia="zh-CN"/>
        </w:rPr>
        <w:t>.</w:t>
      </w:r>
      <w:r>
        <w:rPr>
          <w:highlight w:val="none"/>
        </w:rPr>
        <w:t>我单位保证按本项目招标文件中规定的条款参与投标活动，并为自身的行为承担相应的责任。我单位出现违反国家法律法规和本项目招标文件规定的行为，愿意接受相应的处罚并承担由此引起的赔偿责任。</w:t>
      </w:r>
    </w:p>
    <w:p w14:paraId="6E9136C4">
      <w:pPr>
        <w:pStyle w:val="22"/>
        <w:ind w:firstLine="480"/>
        <w:rPr>
          <w:rFonts w:hint="default"/>
          <w:highlight w:val="none"/>
        </w:rPr>
      </w:pPr>
      <w:r>
        <w:rPr>
          <w:highlight w:val="none"/>
        </w:rPr>
        <w:t>5</w:t>
      </w:r>
      <w:r>
        <w:rPr>
          <w:rFonts w:hint="eastAsia"/>
          <w:highlight w:val="none"/>
          <w:lang w:val="en-US" w:eastAsia="zh-CN"/>
        </w:rPr>
        <w:t>.</w:t>
      </w:r>
      <w:r>
        <w:rPr>
          <w:highlight w:val="none"/>
        </w:rPr>
        <w:t>本投标自开标之日起60日内有效。</w:t>
      </w:r>
    </w:p>
    <w:p w14:paraId="49EE980A">
      <w:pPr>
        <w:pStyle w:val="22"/>
        <w:ind w:firstLine="480"/>
        <w:rPr>
          <w:rFonts w:hint="default"/>
          <w:highlight w:val="none"/>
        </w:rPr>
      </w:pPr>
      <w:r>
        <w:rPr>
          <w:highlight w:val="none"/>
        </w:rPr>
        <w:t>6</w:t>
      </w:r>
      <w:r>
        <w:rPr>
          <w:rFonts w:hint="eastAsia"/>
          <w:highlight w:val="none"/>
          <w:lang w:val="en-US" w:eastAsia="zh-CN"/>
        </w:rPr>
        <w:t>.</w:t>
      </w:r>
      <w:r>
        <w:rPr>
          <w:highlight w:val="none"/>
        </w:rPr>
        <w:t>我单位已经详细审查全部招标文件，包括修改文件（如有的话）以及全部参考资料和有关附件，我们完全理解并同意放弃对这方面有不明及误解的权力。</w:t>
      </w:r>
    </w:p>
    <w:p w14:paraId="603699B8">
      <w:pPr>
        <w:pStyle w:val="22"/>
        <w:ind w:firstLine="480"/>
        <w:rPr>
          <w:rFonts w:hint="default"/>
          <w:highlight w:val="none"/>
        </w:rPr>
      </w:pPr>
      <w:r>
        <w:rPr>
          <w:highlight w:val="none"/>
        </w:rPr>
        <w:t>7</w:t>
      </w:r>
      <w:r>
        <w:rPr>
          <w:rFonts w:hint="eastAsia"/>
          <w:highlight w:val="none"/>
          <w:lang w:val="en-US" w:eastAsia="zh-CN"/>
        </w:rPr>
        <w:t>.</w:t>
      </w:r>
      <w:r>
        <w:rPr>
          <w:highlight w:val="none"/>
        </w:rPr>
        <w:t>在规定的开标时间后（在投标有效期内），如果我们撤回投标，我们按照采购文件约定向利益受损方承担赔偿责任。</w:t>
      </w:r>
    </w:p>
    <w:p w14:paraId="5622284F">
      <w:pPr>
        <w:pStyle w:val="22"/>
        <w:ind w:firstLine="480"/>
        <w:rPr>
          <w:rFonts w:hint="default"/>
          <w:highlight w:val="none"/>
        </w:rPr>
      </w:pPr>
      <w:r>
        <w:rPr>
          <w:highlight w:val="none"/>
        </w:rPr>
        <w:t>8</w:t>
      </w:r>
      <w:r>
        <w:rPr>
          <w:rFonts w:hint="eastAsia"/>
          <w:highlight w:val="none"/>
          <w:lang w:val="en-US" w:eastAsia="zh-CN"/>
        </w:rPr>
        <w:t>.</w:t>
      </w:r>
      <w:r>
        <w:rPr>
          <w:highlight w:val="none"/>
        </w:rPr>
        <w:t>我单位完全理解贵方不一定要接受最低价的投标或收到的任何投标。</w:t>
      </w:r>
    </w:p>
    <w:p w14:paraId="06F10E5B">
      <w:pPr>
        <w:pStyle w:val="22"/>
        <w:ind w:firstLine="480"/>
        <w:rPr>
          <w:rFonts w:hint="default"/>
          <w:highlight w:val="none"/>
        </w:rPr>
      </w:pPr>
    </w:p>
    <w:p w14:paraId="5B0DE72F">
      <w:pPr>
        <w:pStyle w:val="22"/>
        <w:ind w:firstLine="480"/>
        <w:rPr>
          <w:rFonts w:hint="default"/>
          <w:highlight w:val="none"/>
        </w:rPr>
      </w:pPr>
      <w:r>
        <w:rPr>
          <w:highlight w:val="none"/>
        </w:rPr>
        <w:t>法定代表人或授权委托人签字：</w:t>
      </w:r>
    </w:p>
    <w:p w14:paraId="61140F2B">
      <w:pPr>
        <w:pStyle w:val="22"/>
        <w:ind w:firstLine="480"/>
        <w:rPr>
          <w:rFonts w:hint="default"/>
          <w:highlight w:val="none"/>
        </w:rPr>
      </w:pPr>
    </w:p>
    <w:p w14:paraId="68763A94">
      <w:pPr>
        <w:pStyle w:val="22"/>
        <w:ind w:firstLine="480"/>
        <w:rPr>
          <w:rFonts w:hint="default"/>
          <w:highlight w:val="none"/>
        </w:rPr>
      </w:pPr>
      <w:r>
        <w:rPr>
          <w:highlight w:val="none"/>
        </w:rPr>
        <w:t>供应商全称公章：</w:t>
      </w:r>
    </w:p>
    <w:p w14:paraId="6D49FF2B">
      <w:pPr>
        <w:pStyle w:val="22"/>
        <w:ind w:firstLine="480"/>
        <w:rPr>
          <w:rFonts w:hint="default"/>
          <w:highlight w:val="none"/>
        </w:rPr>
      </w:pPr>
    </w:p>
    <w:p w14:paraId="5B6677DC">
      <w:pPr>
        <w:pStyle w:val="22"/>
        <w:ind w:firstLine="480"/>
        <w:rPr>
          <w:rFonts w:hint="default"/>
          <w:highlight w:val="none"/>
        </w:rPr>
      </w:pPr>
      <w:r>
        <w:rPr>
          <w:highlight w:val="none"/>
          <w:lang w:eastAsia="zh-Hans"/>
        </w:rPr>
        <w:t>日期：年月日</w:t>
      </w:r>
    </w:p>
    <w:p w14:paraId="332A02C0">
      <w:pPr>
        <w:pStyle w:val="22"/>
        <w:ind w:firstLine="480"/>
        <w:rPr>
          <w:rFonts w:hint="default"/>
          <w:highlight w:val="none"/>
        </w:rPr>
      </w:pPr>
      <w:r>
        <w:rPr>
          <w:highlight w:val="none"/>
        </w:rPr>
        <w:br w:type="page"/>
      </w:r>
    </w:p>
    <w:p w14:paraId="34029419">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二、报价一览表</w:t>
      </w:r>
    </w:p>
    <w:p w14:paraId="259A8F9D">
      <w:pPr>
        <w:spacing w:after="120"/>
        <w:ind w:left="420" w:leftChars="200" w:firstLine="420"/>
        <w:rPr>
          <w:rFonts w:ascii="Times New Roman" w:hAnsi="Times New Roman" w:eastAsia="宋体" w:cs="Times New Roman"/>
          <w:highlight w:val="none"/>
        </w:rPr>
      </w:pPr>
    </w:p>
    <w:p w14:paraId="3E140EDD">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项目名称：</w:t>
      </w:r>
    </w:p>
    <w:p w14:paraId="4A1F4C82">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项目编号：</w:t>
      </w:r>
    </w:p>
    <w:tbl>
      <w:tblPr>
        <w:tblStyle w:val="17"/>
        <w:tblW w:w="7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9"/>
        <w:gridCol w:w="3895"/>
        <w:gridCol w:w="2617"/>
      </w:tblGrid>
      <w:tr w14:paraId="73D63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339" w:type="dxa"/>
            <w:vAlign w:val="center"/>
          </w:tcPr>
          <w:p w14:paraId="5812E4AB">
            <w:pPr>
              <w:pStyle w:val="2"/>
              <w:keepNext w:val="0"/>
              <w:keepLines w:val="0"/>
              <w:suppressLineNumbers w:val="0"/>
              <w:spacing w:before="0" w:beforeAutospacing="0" w:after="0" w:afterAutospacing="0"/>
              <w:ind w:left="0" w:right="0"/>
              <w:jc w:val="center"/>
              <w:rPr>
                <w:rFonts w:hint="default" w:cs="Times New Roman" w:eastAsiaTheme="minorEastAsia"/>
                <w:sz w:val="21"/>
                <w:szCs w:val="21"/>
                <w:highlight w:val="none"/>
                <w:lang w:val="en-US" w:eastAsia="zh-CN"/>
              </w:rPr>
            </w:pPr>
            <w:r>
              <w:rPr>
                <w:rFonts w:hint="eastAsia" w:cs="Times New Roman"/>
                <w:sz w:val="21"/>
                <w:szCs w:val="21"/>
                <w:highlight w:val="none"/>
                <w:lang w:val="en-US" w:eastAsia="zh-CN"/>
              </w:rPr>
              <w:t>序号</w:t>
            </w:r>
          </w:p>
        </w:tc>
        <w:tc>
          <w:tcPr>
            <w:tcW w:w="3895" w:type="dxa"/>
            <w:vAlign w:val="center"/>
          </w:tcPr>
          <w:p w14:paraId="4916C3ED">
            <w:pPr>
              <w:pStyle w:val="2"/>
              <w:keepNext w:val="0"/>
              <w:keepLines w:val="0"/>
              <w:suppressLineNumbers w:val="0"/>
              <w:spacing w:before="0" w:beforeAutospacing="0" w:after="0" w:afterAutospacing="0"/>
              <w:ind w:left="0" w:right="0"/>
              <w:jc w:val="center"/>
              <w:rPr>
                <w:rFonts w:hint="eastAsia" w:cs="Times New Roman" w:eastAsiaTheme="minorEastAsia"/>
                <w:sz w:val="21"/>
                <w:szCs w:val="21"/>
                <w:highlight w:val="none"/>
                <w:lang w:val="en-US" w:eastAsia="zh-CN"/>
              </w:rPr>
            </w:pPr>
            <w:r>
              <w:rPr>
                <w:rFonts w:hint="eastAsia" w:cs="Times New Roman"/>
                <w:sz w:val="21"/>
                <w:szCs w:val="21"/>
                <w:highlight w:val="none"/>
                <w:lang w:val="en-US" w:eastAsia="zh-CN"/>
              </w:rPr>
              <w:t>项目名称</w:t>
            </w:r>
          </w:p>
        </w:tc>
        <w:tc>
          <w:tcPr>
            <w:tcW w:w="2617" w:type="dxa"/>
            <w:vAlign w:val="center"/>
          </w:tcPr>
          <w:p w14:paraId="68F7BE18">
            <w:pPr>
              <w:pStyle w:val="2"/>
              <w:keepNext w:val="0"/>
              <w:keepLines w:val="0"/>
              <w:suppressLineNumbers w:val="0"/>
              <w:spacing w:before="0" w:beforeAutospacing="0" w:after="0" w:afterAutospacing="0"/>
              <w:ind w:left="0" w:right="0"/>
              <w:jc w:val="center"/>
              <w:rPr>
                <w:rFonts w:hint="eastAsia" w:cs="Times New Roman"/>
                <w:sz w:val="21"/>
                <w:szCs w:val="21"/>
                <w:highlight w:val="none"/>
              </w:rPr>
            </w:pPr>
            <w:r>
              <w:rPr>
                <w:rFonts w:hint="eastAsia" w:cs="Times New Roman"/>
                <w:sz w:val="21"/>
                <w:szCs w:val="21"/>
                <w:highlight w:val="none"/>
              </w:rPr>
              <w:t>总价</w:t>
            </w:r>
            <w:r>
              <w:rPr>
                <w:rFonts w:hint="eastAsia" w:ascii="Times New Roman" w:hAnsi="Times New Roman" w:eastAsia="宋体" w:cs="Times New Roman"/>
                <w:sz w:val="21"/>
                <w:szCs w:val="21"/>
                <w:highlight w:val="none"/>
              </w:rPr>
              <w:t>（元）</w:t>
            </w:r>
          </w:p>
        </w:tc>
      </w:tr>
      <w:tr w14:paraId="3D510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jc w:val="center"/>
        </w:trPr>
        <w:tc>
          <w:tcPr>
            <w:tcW w:w="1339" w:type="dxa"/>
            <w:vAlign w:val="center"/>
          </w:tcPr>
          <w:p w14:paraId="347A7666">
            <w:pPr>
              <w:pStyle w:val="2"/>
              <w:keepNext w:val="0"/>
              <w:keepLines w:val="0"/>
              <w:suppressLineNumbers w:val="0"/>
              <w:spacing w:before="0" w:beforeAutospacing="0" w:after="0" w:afterAutospacing="0"/>
              <w:ind w:left="0" w:right="0"/>
              <w:jc w:val="left"/>
              <w:rPr>
                <w:rFonts w:hint="eastAsia" w:ascii="Times New Roman" w:hAnsi="Times New Roman" w:eastAsia="宋体" w:cs="Times New Roman"/>
                <w:sz w:val="21"/>
                <w:szCs w:val="21"/>
                <w:highlight w:val="none"/>
                <w:lang w:eastAsia="zh-CN"/>
              </w:rPr>
            </w:pPr>
          </w:p>
          <w:p w14:paraId="2D65CCA3">
            <w:pPr>
              <w:pStyle w:val="23"/>
              <w:keepNext w:val="0"/>
              <w:keepLines w:val="0"/>
              <w:suppressLineNumbers w:val="0"/>
              <w:spacing w:before="0" w:beforeAutospacing="0" w:after="0" w:afterAutospacing="0"/>
              <w:ind w:left="0" w:right="0"/>
              <w:rPr>
                <w:rFonts w:hint="eastAsia" w:ascii="Times New Roman" w:eastAsia="宋体" w:cs="Times New Roman"/>
                <w:sz w:val="21"/>
                <w:szCs w:val="21"/>
                <w:highlight w:val="none"/>
                <w:lang w:eastAsia="zh-CN"/>
              </w:rPr>
            </w:pPr>
          </w:p>
        </w:tc>
        <w:tc>
          <w:tcPr>
            <w:tcW w:w="3895" w:type="dxa"/>
            <w:vAlign w:val="center"/>
          </w:tcPr>
          <w:p w14:paraId="639ECA59">
            <w:pPr>
              <w:pStyle w:val="23"/>
              <w:keepNext w:val="0"/>
              <w:keepLines w:val="0"/>
              <w:suppressLineNumbers w:val="0"/>
              <w:spacing w:before="0" w:beforeAutospacing="0" w:after="0" w:afterAutospacing="0"/>
              <w:ind w:left="0" w:right="0"/>
              <w:rPr>
                <w:rFonts w:hint="default" w:ascii="Times New Roman" w:cs="Times New Roman"/>
                <w:sz w:val="21"/>
                <w:szCs w:val="21"/>
                <w:highlight w:val="none"/>
              </w:rPr>
            </w:pPr>
          </w:p>
        </w:tc>
        <w:tc>
          <w:tcPr>
            <w:tcW w:w="2617" w:type="dxa"/>
            <w:vAlign w:val="center"/>
          </w:tcPr>
          <w:p w14:paraId="0EB4796E">
            <w:pPr>
              <w:pStyle w:val="2"/>
              <w:keepNext w:val="0"/>
              <w:keepLines w:val="0"/>
              <w:suppressLineNumbers w:val="0"/>
              <w:spacing w:before="0" w:beforeAutospacing="0" w:after="0" w:afterAutospacing="0"/>
              <w:ind w:left="0" w:right="0"/>
              <w:jc w:val="left"/>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rPr>
              <w:t>小写</w:t>
            </w:r>
            <w:r>
              <w:rPr>
                <w:rFonts w:hint="default" w:ascii="Times New Roman" w:hAnsi="Times New Roman" w:eastAsia="宋体" w:cs="Times New Roman"/>
                <w:sz w:val="21"/>
                <w:szCs w:val="21"/>
                <w:highlight w:val="none"/>
              </w:rPr>
              <w:t>：</w:t>
            </w:r>
          </w:p>
          <w:p w14:paraId="7152B346">
            <w:pPr>
              <w:pStyle w:val="23"/>
              <w:keepNext w:val="0"/>
              <w:keepLines w:val="0"/>
              <w:suppressLineNumbers w:val="0"/>
              <w:spacing w:before="0" w:beforeAutospacing="0" w:after="0" w:afterAutospacing="0"/>
              <w:ind w:left="0" w:right="0"/>
              <w:rPr>
                <w:rFonts w:hint="default" w:ascii="Times New Roman" w:cs="Times New Roman"/>
                <w:sz w:val="21"/>
                <w:szCs w:val="21"/>
                <w:highlight w:val="none"/>
              </w:rPr>
            </w:pPr>
            <w:r>
              <w:rPr>
                <w:rFonts w:hint="default" w:ascii="Times New Roman" w:cs="Times New Roman"/>
                <w:sz w:val="21"/>
                <w:szCs w:val="21"/>
                <w:highlight w:val="none"/>
              </w:rPr>
              <w:t>大写：</w:t>
            </w:r>
          </w:p>
        </w:tc>
      </w:tr>
    </w:tbl>
    <w:p w14:paraId="0F11BF65">
      <w:pPr>
        <w:spacing w:after="120"/>
        <w:rPr>
          <w:rFonts w:ascii="Times New Roman" w:hAnsi="Times New Roman" w:eastAsia="宋体" w:cs="Times New Roman"/>
          <w:highlight w:val="none"/>
        </w:rPr>
      </w:pPr>
    </w:p>
    <w:p w14:paraId="06D6DC36">
      <w:pPr>
        <w:pStyle w:val="2"/>
        <w:numPr>
          <w:ilvl w:val="0"/>
          <w:numId w:val="9"/>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报价一览表中的投标总价，</w:t>
      </w:r>
      <w:r>
        <w:rPr>
          <w:rFonts w:cs="Times New Roman"/>
          <w:sz w:val="24"/>
          <w:szCs w:val="22"/>
          <w:highlight w:val="none"/>
        </w:rPr>
        <w:t>保留小数点后两位</w:t>
      </w:r>
      <w:r>
        <w:rPr>
          <w:rFonts w:hint="eastAsia" w:cs="Times New Roman"/>
          <w:sz w:val="24"/>
          <w:szCs w:val="22"/>
          <w:highlight w:val="none"/>
        </w:rPr>
        <w:t>。报价大写与小写不一致的，</w:t>
      </w:r>
      <w:r>
        <w:rPr>
          <w:rFonts w:hint="eastAsia" w:cs="Times New Roman"/>
          <w:b/>
          <w:bCs/>
          <w:sz w:val="24"/>
          <w:szCs w:val="22"/>
          <w:highlight w:val="none"/>
        </w:rPr>
        <w:t>以大写为准</w:t>
      </w:r>
      <w:r>
        <w:rPr>
          <w:rFonts w:hint="eastAsia" w:cs="Times New Roman"/>
          <w:sz w:val="24"/>
          <w:szCs w:val="22"/>
          <w:highlight w:val="none"/>
        </w:rPr>
        <w:t>。</w:t>
      </w:r>
    </w:p>
    <w:p w14:paraId="4A866026">
      <w:pPr>
        <w:pStyle w:val="2"/>
        <w:numPr>
          <w:ilvl w:val="0"/>
          <w:numId w:val="9"/>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284B3DAE">
      <w:pPr>
        <w:pStyle w:val="2"/>
        <w:numPr>
          <w:ilvl w:val="0"/>
          <w:numId w:val="9"/>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报价一经涂改，应在涂改处加盖供应商公章并由法定代表人或授权委托人签字，否则其投标作无效处理。</w:t>
      </w:r>
    </w:p>
    <w:p w14:paraId="310D27E6">
      <w:pPr>
        <w:pStyle w:val="2"/>
        <w:jc w:val="left"/>
        <w:rPr>
          <w:rFonts w:ascii="Times New Roman" w:hAnsi="Times New Roman" w:eastAsia="宋体" w:cs="Times New Roman"/>
          <w:sz w:val="24"/>
          <w:highlight w:val="none"/>
        </w:rPr>
      </w:pPr>
    </w:p>
    <w:p w14:paraId="0BA55D7D">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法定代表人或授权委托人签字：</w:t>
      </w:r>
    </w:p>
    <w:p w14:paraId="341BF828">
      <w:pPr>
        <w:rPr>
          <w:rFonts w:ascii="Times New Roman" w:hAnsi="Times New Roman" w:eastAsia="宋体" w:cs="Times New Roman"/>
          <w:sz w:val="24"/>
          <w:highlight w:val="none"/>
        </w:rPr>
      </w:pPr>
    </w:p>
    <w:p w14:paraId="4CF3DD82">
      <w:pPr>
        <w:pStyle w:val="3"/>
        <w:ind w:firstLine="0" w:firstLineChars="0"/>
        <w:rPr>
          <w:highlight w:val="none"/>
        </w:rPr>
      </w:pPr>
    </w:p>
    <w:p w14:paraId="07AE66F9">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供应商全称公章：</w:t>
      </w:r>
    </w:p>
    <w:p w14:paraId="4EB0F13C">
      <w:pPr>
        <w:pStyle w:val="3"/>
        <w:ind w:firstLine="0" w:firstLineChars="0"/>
        <w:rPr>
          <w:highlight w:val="none"/>
        </w:rPr>
      </w:pPr>
    </w:p>
    <w:p w14:paraId="77BFFD06">
      <w:pPr>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lang w:eastAsia="zh-Hans"/>
        </w:rPr>
        <w:t>日期</w:t>
      </w:r>
      <w:r>
        <w:rPr>
          <w:rFonts w:ascii="Times New Roman" w:hAnsi="Times New Roman" w:eastAsia="宋体" w:cs="Times New Roman"/>
          <w:sz w:val="24"/>
          <w:highlight w:val="none"/>
          <w:lang w:eastAsia="zh-Hans"/>
        </w:rPr>
        <w:t>：</w:t>
      </w:r>
      <w:r>
        <w:rPr>
          <w:rFonts w:hint="eastAsia" w:ascii="Times New Roman" w:hAnsi="Times New Roman" w:eastAsia="宋体" w:cs="Times New Roman"/>
          <w:sz w:val="24"/>
          <w:highlight w:val="none"/>
          <w:lang w:eastAsia="zh-Hans"/>
        </w:rPr>
        <w:t>年月日</w:t>
      </w:r>
    </w:p>
    <w:p w14:paraId="643574F2">
      <w:pPr>
        <w:widowControl/>
        <w:jc w:val="left"/>
        <w:rPr>
          <w:rFonts w:hint="eastAsia" w:ascii="Times New Roman" w:hAnsi="Times New Roman" w:eastAsia="仿宋" w:cs="Times New Roman"/>
          <w:b/>
          <w:sz w:val="30"/>
          <w:szCs w:val="30"/>
          <w:highlight w:val="none"/>
          <w:lang w:eastAsia="zh-CN"/>
        </w:rPr>
      </w:pPr>
      <w:r>
        <w:rPr>
          <w:rFonts w:ascii="仿宋" w:hAnsi="仿宋" w:eastAsia="仿宋" w:cs="Times New Roman"/>
          <w:b/>
          <w:sz w:val="30"/>
          <w:szCs w:val="30"/>
          <w:highlight w:val="none"/>
        </w:rPr>
        <w:br w:type="page"/>
      </w:r>
    </w:p>
    <w:p w14:paraId="67A14401">
      <w:pPr>
        <w:autoSpaceDE w:val="0"/>
        <w:autoSpaceDN w:val="0"/>
        <w:adjustRightInd w:val="0"/>
        <w:jc w:val="left"/>
        <w:rPr>
          <w:rFonts w:hint="eastAsia" w:ascii="宋体" w:hAnsi="Times New Roman" w:eastAsia="宋体" w:cs="Times New Roman"/>
          <w:color w:val="000000"/>
          <w:kern w:val="0"/>
          <w:sz w:val="24"/>
          <w:highlight w:val="none"/>
          <w:lang w:eastAsia="zh-CN"/>
        </w:rPr>
      </w:pPr>
    </w:p>
    <w:p w14:paraId="430D2EF0">
      <w:pPr>
        <w:spacing w:line="360" w:lineRule="auto"/>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1.</w:t>
      </w:r>
      <w:r>
        <w:rPr>
          <w:rFonts w:hint="eastAsia" w:ascii="宋体" w:hAnsi="宋体" w:eastAsia="宋体" w:cs="Times New Roman"/>
          <w:kern w:val="0"/>
          <w:sz w:val="24"/>
          <w:highlight w:val="none"/>
        </w:rPr>
        <w:t>以上报价总价应与“报价一览表”相一致</w:t>
      </w:r>
      <w:r>
        <w:rPr>
          <w:rFonts w:hint="eastAsia" w:ascii="宋体" w:hAnsi="宋体" w:eastAsia="宋体" w:cs="Times New Roman"/>
          <w:kern w:val="0"/>
          <w:sz w:val="24"/>
          <w:highlight w:val="none"/>
          <w:lang w:eastAsia="zh-CN"/>
        </w:rPr>
        <w:t>，</w:t>
      </w:r>
      <w:r>
        <w:rPr>
          <w:rFonts w:hint="eastAsia" w:ascii="宋体" w:hAnsi="宋体" w:eastAsia="宋体" w:cs="Times New Roman"/>
          <w:kern w:val="0"/>
          <w:sz w:val="24"/>
          <w:highlight w:val="none"/>
          <w:lang w:val="en-US" w:eastAsia="zh-CN"/>
        </w:rPr>
        <w:t>不一致的，以报价明细表中单价计算金额为准；报价明细表中报价保留小数点后两位。报价大写与小写不一致的，以大写为准。</w:t>
      </w:r>
      <w:r>
        <w:rPr>
          <w:rFonts w:hint="eastAsia" w:ascii="宋体" w:hAnsi="宋体" w:eastAsia="宋体" w:cs="Times New Roman"/>
          <w:kern w:val="0"/>
          <w:sz w:val="24"/>
          <w:highlight w:val="none"/>
        </w:rPr>
        <w:t>（最终份数按实际结算为准）。</w:t>
      </w:r>
    </w:p>
    <w:p w14:paraId="4E63105F">
      <w:pPr>
        <w:spacing w:line="360" w:lineRule="auto"/>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2.</w:t>
      </w:r>
      <w:r>
        <w:rPr>
          <w:rFonts w:ascii="宋体" w:hAnsi="宋体" w:eastAsia="宋体" w:cs="Times New Roman"/>
          <w:kern w:val="0"/>
          <w:sz w:val="24"/>
          <w:highlight w:val="none"/>
        </w:rPr>
        <w:t>报价一经涂改，应在涂改处加盖</w:t>
      </w:r>
      <w:r>
        <w:rPr>
          <w:rFonts w:hint="eastAsia" w:ascii="宋体" w:hAnsi="宋体" w:eastAsia="宋体" w:cs="Times New Roman"/>
          <w:kern w:val="0"/>
          <w:sz w:val="24"/>
          <w:highlight w:val="none"/>
        </w:rPr>
        <w:t>供应商</w:t>
      </w:r>
      <w:r>
        <w:rPr>
          <w:rFonts w:ascii="宋体" w:hAnsi="宋体" w:eastAsia="宋体" w:cs="Times New Roman"/>
          <w:kern w:val="0"/>
          <w:sz w:val="24"/>
          <w:highlight w:val="none"/>
        </w:rPr>
        <w:t>公章</w:t>
      </w:r>
      <w:r>
        <w:rPr>
          <w:rFonts w:hint="eastAsia" w:ascii="宋体" w:hAnsi="宋体" w:eastAsia="宋体" w:cs="Times New Roman"/>
          <w:kern w:val="0"/>
          <w:sz w:val="24"/>
          <w:highlight w:val="none"/>
        </w:rPr>
        <w:t>并</w:t>
      </w:r>
      <w:r>
        <w:rPr>
          <w:rFonts w:ascii="宋体" w:hAnsi="宋体" w:eastAsia="宋体" w:cs="Times New Roman"/>
          <w:kern w:val="0"/>
          <w:sz w:val="24"/>
          <w:highlight w:val="none"/>
        </w:rPr>
        <w:t>由法定代表人或</w:t>
      </w:r>
      <w:r>
        <w:rPr>
          <w:rFonts w:hint="eastAsia" w:ascii="宋体" w:hAnsi="宋体" w:eastAsia="宋体" w:cs="Times New Roman"/>
          <w:kern w:val="0"/>
          <w:sz w:val="24"/>
          <w:highlight w:val="none"/>
        </w:rPr>
        <w:t>授权委托人</w:t>
      </w:r>
      <w:r>
        <w:rPr>
          <w:rFonts w:ascii="宋体" w:hAnsi="宋体" w:eastAsia="宋体" w:cs="Times New Roman"/>
          <w:kern w:val="0"/>
          <w:sz w:val="24"/>
          <w:highlight w:val="none"/>
        </w:rPr>
        <w:t>签字，否则其投标作无效处理。</w:t>
      </w:r>
    </w:p>
    <w:p w14:paraId="5B658C1F">
      <w:pPr>
        <w:spacing w:line="360" w:lineRule="auto"/>
        <w:rPr>
          <w:rFonts w:hint="eastAsia" w:ascii="Times New Roman" w:hAnsi="Times New Roman" w:eastAsia="宋体" w:cs="Times New Roman"/>
          <w:sz w:val="24"/>
          <w:highlight w:val="none"/>
          <w:lang w:eastAsia="zh-CN"/>
        </w:rPr>
      </w:pPr>
    </w:p>
    <w:p w14:paraId="3BC13A26">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法定代表人或授权委托人签字：</w:t>
      </w:r>
    </w:p>
    <w:p w14:paraId="37E4B5C6">
      <w:pPr>
        <w:spacing w:line="360" w:lineRule="auto"/>
        <w:rPr>
          <w:rFonts w:hint="eastAsia" w:ascii="Times New Roman" w:hAnsi="Times New Roman" w:eastAsia="宋体" w:cs="Times New Roman"/>
          <w:sz w:val="24"/>
          <w:highlight w:val="none"/>
          <w:lang w:eastAsia="zh-CN"/>
        </w:rPr>
      </w:pPr>
    </w:p>
    <w:p w14:paraId="209F21F4">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供应商全称公章：</w:t>
      </w:r>
    </w:p>
    <w:p w14:paraId="3F36B837">
      <w:pPr>
        <w:spacing w:line="360" w:lineRule="auto"/>
        <w:ind w:firstLine="360" w:firstLineChars="200"/>
        <w:rPr>
          <w:rFonts w:hint="eastAsia" w:ascii="Times New Roman" w:hAnsi="Times New Roman" w:eastAsia="宋体" w:cs="Times New Roman"/>
          <w:sz w:val="18"/>
          <w:szCs w:val="18"/>
          <w:highlight w:val="none"/>
          <w:lang w:eastAsia="zh-CN"/>
        </w:rPr>
      </w:pPr>
    </w:p>
    <w:p w14:paraId="3BFBF500">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日期</w:t>
      </w:r>
      <w:r>
        <w:rPr>
          <w:rFonts w:ascii="宋体" w:hAnsi="宋体" w:eastAsia="宋体" w:cs="Times New Roman"/>
          <w:sz w:val="24"/>
          <w:highlight w:val="none"/>
        </w:rPr>
        <w:t>：</w:t>
      </w:r>
      <w:r>
        <w:rPr>
          <w:rFonts w:ascii="宋体" w:hAnsi="宋体" w:eastAsia="宋体" w:cs="Times New Roman"/>
          <w:sz w:val="24"/>
          <w:highlight w:val="none"/>
          <w:woUserID w:val="1"/>
        </w:rPr>
        <w:t xml:space="preserve">   </w:t>
      </w:r>
      <w:r>
        <w:rPr>
          <w:rFonts w:hint="eastAsia" w:ascii="宋体" w:hAnsi="宋体" w:eastAsia="宋体" w:cs="Times New Roman"/>
          <w:sz w:val="24"/>
          <w:highlight w:val="none"/>
        </w:rPr>
        <w:t>年</w:t>
      </w:r>
      <w:r>
        <w:rPr>
          <w:rFonts w:hint="default" w:ascii="宋体" w:hAnsi="宋体" w:eastAsia="宋体" w:cs="Times New Roman"/>
          <w:sz w:val="24"/>
          <w:highlight w:val="none"/>
          <w:woUserID w:val="1"/>
        </w:rPr>
        <w:t xml:space="preserve">    </w:t>
      </w:r>
      <w:r>
        <w:rPr>
          <w:rFonts w:hint="eastAsia" w:ascii="宋体" w:hAnsi="宋体" w:eastAsia="宋体" w:cs="Times New Roman"/>
          <w:sz w:val="24"/>
          <w:highlight w:val="none"/>
        </w:rPr>
        <w:t>月</w:t>
      </w:r>
      <w:r>
        <w:rPr>
          <w:rFonts w:hint="default" w:ascii="宋体" w:hAnsi="宋体" w:eastAsia="宋体" w:cs="Times New Roman"/>
          <w:sz w:val="24"/>
          <w:highlight w:val="none"/>
          <w:woUserID w:val="1"/>
        </w:rPr>
        <w:t xml:space="preserve">   </w:t>
      </w:r>
      <w:r>
        <w:rPr>
          <w:rFonts w:hint="eastAsia" w:ascii="宋体" w:hAnsi="宋体" w:eastAsia="宋体" w:cs="Times New Roman"/>
          <w:sz w:val="24"/>
          <w:highlight w:val="none"/>
        </w:rPr>
        <w:t>日</w:t>
      </w:r>
    </w:p>
    <w:p w14:paraId="1A360960">
      <w:pPr>
        <w:pStyle w:val="22"/>
        <w:ind w:firstLine="0" w:firstLineChars="0"/>
        <w:rPr>
          <w:rFonts w:hint="default" w:ascii="仿宋" w:hAnsi="仿宋" w:eastAsia="仿宋" w:cs="仿宋"/>
          <w:b/>
          <w:sz w:val="30"/>
          <w:szCs w:val="30"/>
          <w:highlight w:val="none"/>
        </w:rPr>
      </w:pPr>
    </w:p>
    <w:p w14:paraId="274D658C">
      <w:pPr>
        <w:pStyle w:val="22"/>
        <w:ind w:firstLine="0" w:firstLineChars="0"/>
        <w:rPr>
          <w:rFonts w:hint="default" w:ascii="仿宋" w:hAnsi="仿宋" w:eastAsia="仿宋" w:cs="仿宋"/>
          <w:b/>
          <w:sz w:val="30"/>
          <w:szCs w:val="30"/>
          <w:highlight w:val="none"/>
        </w:rPr>
      </w:pPr>
    </w:p>
    <w:p w14:paraId="469A2283">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四</w:t>
      </w:r>
      <w:r>
        <w:rPr>
          <w:rFonts w:ascii="仿宋" w:hAnsi="仿宋" w:eastAsia="仿宋" w:cs="仿宋"/>
          <w:b/>
          <w:sz w:val="30"/>
          <w:szCs w:val="30"/>
          <w:highlight w:val="none"/>
        </w:rPr>
        <w:t>、其他供应商认为有需要提交的资料</w:t>
      </w:r>
    </w:p>
    <w:p w14:paraId="1E66CB42">
      <w:pPr>
        <w:rPr>
          <w:highlight w:val="none"/>
        </w:rPr>
      </w:pPr>
    </w:p>
    <w:p w14:paraId="674AC846">
      <w:pPr>
        <w:spacing w:line="360" w:lineRule="auto"/>
        <w:rPr>
          <w:rFonts w:ascii="仿宋" w:hAnsi="仿宋" w:eastAsia="仿宋" w:cs="仿宋"/>
          <w:b/>
          <w:sz w:val="44"/>
          <w:szCs w:val="44"/>
          <w:highlight w:val="none"/>
        </w:rPr>
      </w:pP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4855F">
    <w:pPr>
      <w:pStyle w:val="13"/>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99BC8E">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799BC8E">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FEAE1">
    <w:pPr>
      <w:pStyle w:val="13"/>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85B9D6">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F85B9D6">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04CE5">
    <w:pPr>
      <w:pStyle w:val="14"/>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E1F77D"/>
    <w:multiLevelType w:val="singleLevel"/>
    <w:tmpl w:val="96E1F77D"/>
    <w:lvl w:ilvl="0" w:tentative="0">
      <w:start w:val="1"/>
      <w:numFmt w:val="decimal"/>
      <w:lvlText w:val="%1."/>
      <w:lvlJc w:val="left"/>
      <w:pPr>
        <w:ind w:left="425" w:hanging="425"/>
      </w:pPr>
      <w:rPr>
        <w:rFonts w:hint="default"/>
      </w:rPr>
    </w:lvl>
  </w:abstractNum>
  <w:abstractNum w:abstractNumId="1">
    <w:nsid w:val="9AA96D22"/>
    <w:multiLevelType w:val="singleLevel"/>
    <w:tmpl w:val="9AA96D22"/>
    <w:lvl w:ilvl="0" w:tentative="0">
      <w:start w:val="1"/>
      <w:numFmt w:val="decimal"/>
      <w:lvlText w:val="%1."/>
      <w:lvlJc w:val="left"/>
      <w:pPr>
        <w:ind w:left="845" w:hanging="425"/>
      </w:pPr>
      <w:rPr>
        <w:rFonts w:hint="default"/>
      </w:rPr>
    </w:lvl>
  </w:abstractNum>
  <w:abstractNum w:abstractNumId="2">
    <w:nsid w:val="BCFBBE8C"/>
    <w:multiLevelType w:val="singleLevel"/>
    <w:tmpl w:val="BCFBBE8C"/>
    <w:lvl w:ilvl="0" w:tentative="0">
      <w:start w:val="1"/>
      <w:numFmt w:val="decimal"/>
      <w:lvlText w:val="%1."/>
      <w:lvlJc w:val="left"/>
      <w:pPr>
        <w:ind w:left="845" w:hanging="425"/>
      </w:pPr>
      <w:rPr>
        <w:rFonts w:hint="default"/>
      </w:rPr>
    </w:lvl>
  </w:abstractNum>
  <w:abstractNum w:abstractNumId="3">
    <w:nsid w:val="D4A667CB"/>
    <w:multiLevelType w:val="singleLevel"/>
    <w:tmpl w:val="D4A667CB"/>
    <w:lvl w:ilvl="0" w:tentative="0">
      <w:start w:val="1"/>
      <w:numFmt w:val="decimal"/>
      <w:lvlText w:val="%1."/>
      <w:lvlJc w:val="left"/>
      <w:pPr>
        <w:ind w:left="845" w:hanging="425"/>
      </w:pPr>
      <w:rPr>
        <w:rFonts w:hint="default"/>
      </w:rPr>
    </w:lvl>
  </w:abstractNum>
  <w:abstractNum w:abstractNumId="4">
    <w:nsid w:val="FD512869"/>
    <w:multiLevelType w:val="multilevel"/>
    <w:tmpl w:val="FD512869"/>
    <w:lvl w:ilvl="0" w:tentative="0">
      <w:start w:val="1"/>
      <w:numFmt w:val="chineseCounting"/>
      <w:suff w:val="nothing"/>
      <w:lvlText w:val="%1、"/>
      <w:lvlJc w:val="left"/>
      <w:pPr>
        <w:ind w:left="-420" w:firstLine="420"/>
      </w:pPr>
      <w:rPr>
        <w:rFonts w:hint="eastAsia"/>
      </w:rPr>
    </w:lvl>
    <w:lvl w:ilvl="1" w:tentative="0">
      <w:start w:val="1"/>
      <w:numFmt w:val="decimal"/>
      <w:suff w:val="nothing"/>
      <w:lvlText w:val="%2．"/>
      <w:lvlJc w:val="left"/>
      <w:pPr>
        <w:ind w:left="-420" w:firstLine="420"/>
      </w:pPr>
      <w:rPr>
        <w:rFonts w:hint="eastAsia"/>
      </w:rPr>
    </w:lvl>
    <w:lvl w:ilvl="2" w:tentative="0">
      <w:start w:val="1"/>
      <w:numFmt w:val="decimal"/>
      <w:suff w:val="nothing"/>
      <w:lvlText w:val="（%3）"/>
      <w:lvlJc w:val="left"/>
      <w:pPr>
        <w:ind w:left="-420" w:firstLine="420"/>
      </w:pPr>
      <w:rPr>
        <w:rFonts w:hint="eastAsia"/>
      </w:rPr>
    </w:lvl>
    <w:lvl w:ilvl="3" w:tentative="0">
      <w:start w:val="1"/>
      <w:numFmt w:val="decimalEnclosedCircleChinese"/>
      <w:suff w:val="nothing"/>
      <w:lvlText w:val="%4"/>
      <w:lvlJc w:val="left"/>
      <w:pPr>
        <w:ind w:left="-420" w:firstLine="420"/>
      </w:pPr>
      <w:rPr>
        <w:rFonts w:hint="eastAsia"/>
      </w:rPr>
    </w:lvl>
    <w:lvl w:ilvl="4" w:tentative="0">
      <w:start w:val="1"/>
      <w:numFmt w:val="decimal"/>
      <w:suff w:val="nothing"/>
      <w:lvlText w:val="%5）"/>
      <w:lvlJc w:val="left"/>
      <w:pPr>
        <w:ind w:left="-420" w:firstLine="420"/>
      </w:pPr>
      <w:rPr>
        <w:rFonts w:hint="eastAsia"/>
      </w:rPr>
    </w:lvl>
    <w:lvl w:ilvl="5" w:tentative="0">
      <w:start w:val="1"/>
      <w:numFmt w:val="lowerLetter"/>
      <w:suff w:val="nothing"/>
      <w:lvlText w:val="%6．"/>
      <w:lvlJc w:val="left"/>
      <w:pPr>
        <w:ind w:left="-420" w:firstLine="420"/>
      </w:pPr>
      <w:rPr>
        <w:rFonts w:hint="eastAsia"/>
      </w:rPr>
    </w:lvl>
    <w:lvl w:ilvl="6" w:tentative="0">
      <w:start w:val="1"/>
      <w:numFmt w:val="lowerLetter"/>
      <w:suff w:val="nothing"/>
      <w:lvlText w:val="%7）"/>
      <w:lvlJc w:val="left"/>
      <w:pPr>
        <w:ind w:left="-420" w:firstLine="420"/>
      </w:pPr>
      <w:rPr>
        <w:rFonts w:hint="eastAsia"/>
      </w:rPr>
    </w:lvl>
    <w:lvl w:ilvl="7" w:tentative="0">
      <w:start w:val="1"/>
      <w:numFmt w:val="lowerRoman"/>
      <w:suff w:val="nothing"/>
      <w:lvlText w:val="%8．"/>
      <w:lvlJc w:val="left"/>
      <w:pPr>
        <w:ind w:left="-420" w:firstLine="420"/>
      </w:pPr>
      <w:rPr>
        <w:rFonts w:hint="eastAsia"/>
      </w:rPr>
    </w:lvl>
    <w:lvl w:ilvl="8" w:tentative="0">
      <w:start w:val="1"/>
      <w:numFmt w:val="lowerRoman"/>
      <w:suff w:val="nothing"/>
      <w:lvlText w:val="%9）"/>
      <w:lvlJc w:val="left"/>
      <w:pPr>
        <w:ind w:left="-420" w:firstLine="420"/>
      </w:pPr>
      <w:rPr>
        <w:rFonts w:hint="eastAsia"/>
      </w:rPr>
    </w:lvl>
  </w:abstractNum>
  <w:abstractNum w:abstractNumId="5">
    <w:nsid w:val="416BDFD8"/>
    <w:multiLevelType w:val="singleLevel"/>
    <w:tmpl w:val="416BDFD8"/>
    <w:lvl w:ilvl="0" w:tentative="0">
      <w:start w:val="1"/>
      <w:numFmt w:val="decimal"/>
      <w:lvlText w:val="%1."/>
      <w:lvlJc w:val="left"/>
      <w:pPr>
        <w:ind w:left="845" w:hanging="425"/>
      </w:pPr>
      <w:rPr>
        <w:rFonts w:hint="default"/>
      </w:rPr>
    </w:lvl>
  </w:abstractNum>
  <w:abstractNum w:abstractNumId="6">
    <w:nsid w:val="50A7A25F"/>
    <w:multiLevelType w:val="singleLevel"/>
    <w:tmpl w:val="50A7A25F"/>
    <w:lvl w:ilvl="0" w:tentative="0">
      <w:start w:val="1"/>
      <w:numFmt w:val="decimal"/>
      <w:lvlText w:val="%1."/>
      <w:lvlJc w:val="left"/>
      <w:pPr>
        <w:ind w:left="845" w:hanging="425"/>
      </w:pPr>
      <w:rPr>
        <w:rFonts w:hint="default"/>
      </w:rPr>
    </w:lvl>
  </w:abstractNum>
  <w:abstractNum w:abstractNumId="7">
    <w:nsid w:val="59A3727D"/>
    <w:multiLevelType w:val="singleLevel"/>
    <w:tmpl w:val="59A3727D"/>
    <w:lvl w:ilvl="0" w:tentative="0">
      <w:start w:val="1"/>
      <w:numFmt w:val="decimal"/>
      <w:suff w:val="nothing"/>
      <w:lvlText w:val="%1."/>
      <w:lvlJc w:val="left"/>
      <w:pPr>
        <w:ind w:left="425" w:hanging="425"/>
      </w:pPr>
      <w:rPr>
        <w:rFonts w:hint="default"/>
      </w:rPr>
    </w:lvl>
  </w:abstractNum>
  <w:abstractNum w:abstractNumId="8">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1"/>
  </w:num>
  <w:num w:numId="2">
    <w:abstractNumId w:val="6"/>
  </w:num>
  <w:num w:numId="3">
    <w:abstractNumId w:val="5"/>
  </w:num>
  <w:num w:numId="4">
    <w:abstractNumId w:val="3"/>
  </w:num>
  <w:num w:numId="5">
    <w:abstractNumId w:val="2"/>
  </w:num>
  <w:num w:numId="6">
    <w:abstractNumId w:val="0"/>
  </w:num>
  <w:num w:numId="7">
    <w:abstractNumId w:val="8"/>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ED4"/>
    <w:rsid w:val="000B182F"/>
    <w:rsid w:val="00810D76"/>
    <w:rsid w:val="0095715B"/>
    <w:rsid w:val="009E2F21"/>
    <w:rsid w:val="00AE3ED4"/>
    <w:rsid w:val="02B01361"/>
    <w:rsid w:val="02ED7EC0"/>
    <w:rsid w:val="0356670A"/>
    <w:rsid w:val="060A0D89"/>
    <w:rsid w:val="06D5604C"/>
    <w:rsid w:val="07943400"/>
    <w:rsid w:val="07A31495"/>
    <w:rsid w:val="07D82BF3"/>
    <w:rsid w:val="080E331C"/>
    <w:rsid w:val="09293079"/>
    <w:rsid w:val="09335794"/>
    <w:rsid w:val="0BFF6D04"/>
    <w:rsid w:val="0C724374"/>
    <w:rsid w:val="0D725B91"/>
    <w:rsid w:val="0D7F3E0A"/>
    <w:rsid w:val="0F0E62D2"/>
    <w:rsid w:val="0F487D80"/>
    <w:rsid w:val="0F784FB5"/>
    <w:rsid w:val="11112603"/>
    <w:rsid w:val="11F76665"/>
    <w:rsid w:val="15634DF8"/>
    <w:rsid w:val="16540EC7"/>
    <w:rsid w:val="1674297A"/>
    <w:rsid w:val="176E351E"/>
    <w:rsid w:val="179E0CE0"/>
    <w:rsid w:val="17B44838"/>
    <w:rsid w:val="18DF5121"/>
    <w:rsid w:val="197B6322"/>
    <w:rsid w:val="1C4353EA"/>
    <w:rsid w:val="20831A0C"/>
    <w:rsid w:val="213A793B"/>
    <w:rsid w:val="22050734"/>
    <w:rsid w:val="25455AD7"/>
    <w:rsid w:val="270438E1"/>
    <w:rsid w:val="29FF340B"/>
    <w:rsid w:val="2A0B17B3"/>
    <w:rsid w:val="2A423861"/>
    <w:rsid w:val="2A9C4A15"/>
    <w:rsid w:val="2AB831E9"/>
    <w:rsid w:val="2CA13945"/>
    <w:rsid w:val="2E823302"/>
    <w:rsid w:val="31D74041"/>
    <w:rsid w:val="32500DC3"/>
    <w:rsid w:val="33492641"/>
    <w:rsid w:val="33F425AD"/>
    <w:rsid w:val="3437693D"/>
    <w:rsid w:val="38EE1BC4"/>
    <w:rsid w:val="397B54E2"/>
    <w:rsid w:val="3A59585F"/>
    <w:rsid w:val="3C8A4DC7"/>
    <w:rsid w:val="3CC20428"/>
    <w:rsid w:val="3D0748C1"/>
    <w:rsid w:val="3E263CAA"/>
    <w:rsid w:val="3E602FB4"/>
    <w:rsid w:val="3E64212B"/>
    <w:rsid w:val="408F1FDB"/>
    <w:rsid w:val="409776E7"/>
    <w:rsid w:val="41652D3C"/>
    <w:rsid w:val="43236A0A"/>
    <w:rsid w:val="43D2242F"/>
    <w:rsid w:val="443F0931"/>
    <w:rsid w:val="446B0669"/>
    <w:rsid w:val="45505AB1"/>
    <w:rsid w:val="45CF0F48"/>
    <w:rsid w:val="45DB7DB5"/>
    <w:rsid w:val="46A6359A"/>
    <w:rsid w:val="4799259F"/>
    <w:rsid w:val="49E461A4"/>
    <w:rsid w:val="4A4F27DB"/>
    <w:rsid w:val="4B321EE0"/>
    <w:rsid w:val="4B3A6C8E"/>
    <w:rsid w:val="4C043534"/>
    <w:rsid w:val="4C1930A0"/>
    <w:rsid w:val="4C496610"/>
    <w:rsid w:val="4C5440D8"/>
    <w:rsid w:val="4D1675E0"/>
    <w:rsid w:val="4DFFA944"/>
    <w:rsid w:val="4E09582B"/>
    <w:rsid w:val="4F0F5ED5"/>
    <w:rsid w:val="50CF1F80"/>
    <w:rsid w:val="52B92EE7"/>
    <w:rsid w:val="53BF62DB"/>
    <w:rsid w:val="559E5AB7"/>
    <w:rsid w:val="57D06B40"/>
    <w:rsid w:val="589A7317"/>
    <w:rsid w:val="5DB42C29"/>
    <w:rsid w:val="5E025D2B"/>
    <w:rsid w:val="5E40252C"/>
    <w:rsid w:val="5E4C5CCA"/>
    <w:rsid w:val="5F345D8B"/>
    <w:rsid w:val="5FE6F84D"/>
    <w:rsid w:val="60946B05"/>
    <w:rsid w:val="622163B3"/>
    <w:rsid w:val="6230163E"/>
    <w:rsid w:val="62664770"/>
    <w:rsid w:val="635A392B"/>
    <w:rsid w:val="644741F1"/>
    <w:rsid w:val="66811E52"/>
    <w:rsid w:val="6740552D"/>
    <w:rsid w:val="67F52C07"/>
    <w:rsid w:val="67F788A8"/>
    <w:rsid w:val="67FC3F17"/>
    <w:rsid w:val="688043A9"/>
    <w:rsid w:val="69E623BC"/>
    <w:rsid w:val="69FFADCA"/>
    <w:rsid w:val="6AAE52B4"/>
    <w:rsid w:val="6AF97ECD"/>
    <w:rsid w:val="6C545FC6"/>
    <w:rsid w:val="6D170AA5"/>
    <w:rsid w:val="6D2236EE"/>
    <w:rsid w:val="6D4D2752"/>
    <w:rsid w:val="6EFA723A"/>
    <w:rsid w:val="6F2E0F44"/>
    <w:rsid w:val="6F377216"/>
    <w:rsid w:val="6FFBAD4B"/>
    <w:rsid w:val="708C237E"/>
    <w:rsid w:val="70C7626D"/>
    <w:rsid w:val="731D6B1E"/>
    <w:rsid w:val="740407CA"/>
    <w:rsid w:val="75187593"/>
    <w:rsid w:val="7717F442"/>
    <w:rsid w:val="779D61D1"/>
    <w:rsid w:val="77F263D0"/>
    <w:rsid w:val="78506347"/>
    <w:rsid w:val="78A21BA4"/>
    <w:rsid w:val="78FA51E4"/>
    <w:rsid w:val="79D42231"/>
    <w:rsid w:val="79E44190"/>
    <w:rsid w:val="7A5418DD"/>
    <w:rsid w:val="7AFE508C"/>
    <w:rsid w:val="7B271E16"/>
    <w:rsid w:val="7B7EFEE4"/>
    <w:rsid w:val="7BDF3260"/>
    <w:rsid w:val="7BDF6C6B"/>
    <w:rsid w:val="7BF9EB3B"/>
    <w:rsid w:val="7CD842D1"/>
    <w:rsid w:val="7D7B1404"/>
    <w:rsid w:val="7EBF3B51"/>
    <w:rsid w:val="7F361298"/>
    <w:rsid w:val="7F5769B1"/>
    <w:rsid w:val="7FA74FEC"/>
    <w:rsid w:val="7FCCC4C0"/>
    <w:rsid w:val="7FD52D75"/>
    <w:rsid w:val="7FD57037"/>
    <w:rsid w:val="7FE5CB55"/>
    <w:rsid w:val="B79FFD29"/>
    <w:rsid w:val="B98ACC31"/>
    <w:rsid w:val="DDFB0333"/>
    <w:rsid w:val="DFF66CFE"/>
    <w:rsid w:val="E7FF00F0"/>
    <w:rsid w:val="EFDA85E5"/>
    <w:rsid w:val="F3763797"/>
    <w:rsid w:val="F6FFAA26"/>
    <w:rsid w:val="F73F7632"/>
    <w:rsid w:val="F7FF8A16"/>
    <w:rsid w:val="F9D92F37"/>
    <w:rsid w:val="FBFF317C"/>
    <w:rsid w:val="FDED80AF"/>
    <w:rsid w:val="FDF68931"/>
    <w:rsid w:val="FE49B0FF"/>
    <w:rsid w:val="FFFC68E1"/>
    <w:rsid w:val="FFFFC51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5">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paragraph" w:styleId="6">
    <w:name w:val="heading 3"/>
    <w:basedOn w:val="1"/>
    <w:next w:val="7"/>
    <w:qFormat/>
    <w:uiPriority w:val="0"/>
    <w:pPr>
      <w:keepNext/>
      <w:keepLines/>
      <w:spacing w:before="260" w:beforeLines="0" w:after="260" w:afterLines="0" w:line="415"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宋体" w:hAnsi="宋体"/>
      <w:sz w:val="28"/>
    </w:rPr>
  </w:style>
  <w:style w:type="paragraph" w:styleId="3">
    <w:name w:val="Body Text First Indent"/>
    <w:basedOn w:val="2"/>
    <w:next w:val="1"/>
    <w:qFormat/>
    <w:uiPriority w:val="0"/>
    <w:pPr>
      <w:ind w:firstLine="420" w:firstLineChars="100"/>
    </w:pPr>
    <w:rPr>
      <w:rFonts w:ascii="Times New Roman" w:hAnsi="Times New Roman" w:eastAsia="宋体" w:cs="Times New Roman"/>
    </w:rPr>
  </w:style>
  <w:style w:type="paragraph" w:styleId="7">
    <w:name w:val="Normal Indent"/>
    <w:basedOn w:val="1"/>
    <w:qFormat/>
    <w:uiPriority w:val="0"/>
    <w:pPr>
      <w:ind w:firstLine="420" w:firstLineChars="200"/>
    </w:pPr>
  </w:style>
  <w:style w:type="paragraph" w:styleId="8">
    <w:name w:val="annotation text"/>
    <w:basedOn w:val="1"/>
    <w:qFormat/>
    <w:uiPriority w:val="0"/>
    <w:pPr>
      <w:jc w:val="left"/>
    </w:pPr>
  </w:style>
  <w:style w:type="paragraph" w:styleId="9">
    <w:name w:val="Body Text Indent"/>
    <w:basedOn w:val="1"/>
    <w:next w:val="10"/>
    <w:qFormat/>
    <w:uiPriority w:val="99"/>
    <w:pPr>
      <w:spacing w:line="360" w:lineRule="auto"/>
      <w:ind w:firstLine="600" w:firstLineChars="200"/>
    </w:pPr>
    <w:rPr>
      <w:rFonts w:ascii="仿宋_GB2312" w:hAnsi="宋体" w:eastAsia="仿宋_GB2312"/>
      <w:sz w:val="30"/>
    </w:rPr>
  </w:style>
  <w:style w:type="paragraph" w:styleId="10">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11">
    <w:name w:val="Plain Text"/>
    <w:qFormat/>
    <w:uiPriority w:val="0"/>
    <w:pPr>
      <w:widowControl w:val="0"/>
      <w:jc w:val="both"/>
    </w:pPr>
    <w:rPr>
      <w:rFonts w:ascii="宋体" w:hAnsi="Courier New" w:eastAsia="宋体" w:cs="Times New Roman"/>
      <w:kern w:val="2"/>
      <w:sz w:val="21"/>
      <w:szCs w:val="21"/>
      <w:lang w:val="en-US" w:eastAsia="zh-CN" w:bidi="ar-SA"/>
    </w:rPr>
  </w:style>
  <w:style w:type="paragraph" w:styleId="12">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qFormat/>
    <w:uiPriority w:val="0"/>
    <w:pPr>
      <w:widowControl w:val="0"/>
      <w:spacing w:after="120"/>
      <w:ind w:left="420" w:leftChars="200"/>
      <w:jc w:val="both"/>
    </w:pPr>
    <w:rPr>
      <w:rFonts w:ascii="Calibri" w:hAnsi="Calibri" w:eastAsia="宋体" w:cs="Times New Roman"/>
      <w:kern w:val="2"/>
      <w:sz w:val="16"/>
      <w:szCs w:val="16"/>
      <w:lang w:val="en-US" w:eastAsia="zh-CN" w:bidi="ar-SA"/>
    </w:rPr>
  </w:style>
  <w:style w:type="paragraph" w:styleId="16">
    <w:name w:val="Normal (Web)"/>
    <w:basedOn w:val="1"/>
    <w:next w:val="1"/>
    <w:qFormat/>
    <w:uiPriority w:val="0"/>
    <w:pPr>
      <w:spacing w:line="360" w:lineRule="auto"/>
      <w:ind w:firstLine="640" w:firstLineChars="200"/>
      <w:jc w:val="left"/>
    </w:pPr>
    <w:rPr>
      <w:rFonts w:ascii="仿宋" w:hAnsi="仿宋" w:eastAsia="仿宋" w:cs="仿宋_GB2312"/>
      <w:sz w:val="32"/>
      <w:szCs w:val="32"/>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21">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22">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2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4">
    <w:name w:val="_Style 1"/>
    <w:qFormat/>
    <w:uiPriority w:val="99"/>
    <w:rPr>
      <w:rFonts w:ascii="Calibri" w:hAnsi="Calibri" w:eastAsia="宋体" w:cs="Times New Roman"/>
      <w:kern w:val="2"/>
      <w:sz w:val="28"/>
      <w:szCs w:val="22"/>
      <w:lang w:val="en-US" w:eastAsia="zh-CN" w:bidi="ar-SA"/>
    </w:rPr>
  </w:style>
  <w:style w:type="character" w:customStyle="1" w:styleId="25">
    <w:name w:val="font81"/>
    <w:basedOn w:val="19"/>
    <w:qFormat/>
    <w:uiPriority w:val="0"/>
    <w:rPr>
      <w:rFonts w:hint="eastAsia" w:ascii="宋体" w:hAnsi="宋体" w:eastAsia="宋体" w:cs="宋体"/>
      <w:b/>
      <w:bCs/>
      <w:color w:val="000000"/>
      <w:sz w:val="48"/>
      <w:szCs w:val="48"/>
      <w:u w:val="none"/>
    </w:rPr>
  </w:style>
  <w:style w:type="character" w:customStyle="1" w:styleId="26">
    <w:name w:val="font31"/>
    <w:basedOn w:val="19"/>
    <w:qFormat/>
    <w:uiPriority w:val="0"/>
    <w:rPr>
      <w:rFonts w:hint="default" w:ascii="Times New Roman" w:hAnsi="Times New Roman" w:cs="Times New Roman"/>
      <w:b/>
      <w:bCs/>
      <w:color w:val="000000"/>
      <w:sz w:val="48"/>
      <w:szCs w:val="48"/>
      <w:u w:val="none"/>
    </w:rPr>
  </w:style>
  <w:style w:type="character" w:customStyle="1" w:styleId="27">
    <w:name w:val="font91"/>
    <w:basedOn w:val="19"/>
    <w:qFormat/>
    <w:uiPriority w:val="0"/>
    <w:rPr>
      <w:rFonts w:hint="eastAsia" w:ascii="宋体" w:hAnsi="宋体" w:eastAsia="宋体" w:cs="宋体"/>
      <w:b/>
      <w:bCs/>
      <w:color w:val="000000"/>
      <w:sz w:val="24"/>
      <w:szCs w:val="24"/>
      <w:u w:val="none"/>
    </w:rPr>
  </w:style>
  <w:style w:type="character" w:customStyle="1" w:styleId="28">
    <w:name w:val="font51"/>
    <w:basedOn w:val="19"/>
    <w:qFormat/>
    <w:uiPriority w:val="0"/>
    <w:rPr>
      <w:rFonts w:hint="default" w:ascii="Times New Roman" w:hAnsi="Times New Roman" w:cs="Times New Roman"/>
      <w:color w:val="000000"/>
      <w:sz w:val="24"/>
      <w:szCs w:val="24"/>
      <w:u w:val="none"/>
    </w:rPr>
  </w:style>
  <w:style w:type="character" w:customStyle="1" w:styleId="29">
    <w:name w:val="font61"/>
    <w:basedOn w:val="19"/>
    <w:qFormat/>
    <w:uiPriority w:val="0"/>
    <w:rPr>
      <w:rFonts w:hint="eastAsia" w:ascii="宋体" w:hAnsi="宋体" w:eastAsia="宋体" w:cs="宋体"/>
      <w:color w:val="000000"/>
      <w:sz w:val="24"/>
      <w:szCs w:val="24"/>
      <w:u w:val="none"/>
    </w:rPr>
  </w:style>
  <w:style w:type="character" w:customStyle="1" w:styleId="30">
    <w:name w:val="font41"/>
    <w:basedOn w:val="19"/>
    <w:qFormat/>
    <w:uiPriority w:val="0"/>
    <w:rPr>
      <w:rFonts w:hint="eastAsia" w:ascii="宋体" w:hAnsi="宋体" w:eastAsia="宋体" w:cs="宋体"/>
      <w:b/>
      <w:bCs/>
      <w:color w:val="000000"/>
      <w:sz w:val="24"/>
      <w:szCs w:val="24"/>
      <w:u w:val="none"/>
    </w:rPr>
  </w:style>
  <w:style w:type="character" w:customStyle="1" w:styleId="31">
    <w:name w:val="font71"/>
    <w:basedOn w:val="19"/>
    <w:qFormat/>
    <w:uiPriority w:val="0"/>
    <w:rPr>
      <w:rFonts w:hint="default" w:ascii="Times New Roman" w:hAnsi="Times New Roman" w:cs="Times New Roman"/>
      <w:color w:val="000000"/>
      <w:sz w:val="24"/>
      <w:szCs w:val="24"/>
      <w:u w:val="none"/>
    </w:rPr>
  </w:style>
  <w:style w:type="character" w:customStyle="1" w:styleId="32">
    <w:name w:val="10"/>
    <w:basedOn w:val="19"/>
    <w:qFormat/>
    <w:uiPriority w:val="0"/>
    <w:rPr>
      <w:rFonts w:hint="default" w:ascii="Times New Roman" w:hAnsi="Times New Roman" w:cs="Times New Roman"/>
    </w:rPr>
  </w:style>
  <w:style w:type="character" w:customStyle="1" w:styleId="33">
    <w:name w:val="15"/>
    <w:basedOn w:val="19"/>
    <w:qFormat/>
    <w:uiPriority w:val="0"/>
    <w:rPr>
      <w:rFonts w:hint="eastAsia" w:ascii="宋体" w:hAnsi="宋体" w:eastAsia="宋体" w:cs="宋体"/>
      <w:b/>
      <w:bCs/>
      <w:color w:val="000000"/>
      <w:sz w:val="24"/>
      <w:szCs w:val="24"/>
    </w:rPr>
  </w:style>
  <w:style w:type="character" w:customStyle="1" w:styleId="34">
    <w:name w:val="16"/>
    <w:basedOn w:val="19"/>
    <w:qFormat/>
    <w:uiPriority w:val="0"/>
    <w:rPr>
      <w:rFonts w:hint="default" w:ascii="Times New Roman" w:hAnsi="Times New Roman" w:cs="Times New Roman"/>
      <w:color w:val="000000"/>
      <w:sz w:val="24"/>
      <w:szCs w:val="24"/>
    </w:rPr>
  </w:style>
  <w:style w:type="character" w:customStyle="1" w:styleId="35">
    <w:name w:val="17"/>
    <w:basedOn w:val="19"/>
    <w:qFormat/>
    <w:uiPriority w:val="0"/>
    <w:rPr>
      <w:rFonts w:hint="eastAsia" w:ascii="宋体" w:hAnsi="宋体" w:eastAsia="宋体" w:cs="宋体"/>
      <w:color w:val="000000"/>
      <w:sz w:val="24"/>
      <w:szCs w:val="24"/>
    </w:rPr>
  </w:style>
  <w:style w:type="character" w:customStyle="1" w:styleId="36">
    <w:name w:val="font21"/>
    <w:basedOn w:val="19"/>
    <w:qFormat/>
    <w:uiPriority w:val="0"/>
    <w:rPr>
      <w:rFonts w:hint="eastAsia" w:ascii="宋体" w:hAnsi="宋体" w:eastAsia="宋体" w:cs="宋体"/>
      <w:b/>
      <w:bCs/>
      <w:color w:val="000000"/>
      <w:sz w:val="24"/>
      <w:szCs w:val="24"/>
      <w:u w:val="none"/>
    </w:rPr>
  </w:style>
  <w:style w:type="character" w:customStyle="1" w:styleId="37">
    <w:name w:val="font101"/>
    <w:basedOn w:val="19"/>
    <w:qFormat/>
    <w:uiPriority w:val="0"/>
    <w:rPr>
      <w:rFonts w:hint="eastAsia" w:ascii="宋体" w:hAnsi="宋体" w:eastAsia="宋体" w:cs="宋体"/>
      <w:b/>
      <w:bCs/>
      <w:color w:val="000000"/>
      <w:sz w:val="24"/>
      <w:szCs w:val="24"/>
      <w:u w:val="none"/>
    </w:rPr>
  </w:style>
  <w:style w:type="character" w:customStyle="1" w:styleId="38">
    <w:name w:val="font112"/>
    <w:basedOn w:val="19"/>
    <w:qFormat/>
    <w:uiPriority w:val="0"/>
    <w:rPr>
      <w:rFonts w:hint="default" w:ascii="Times New Roman" w:hAnsi="Times New Roman" w:cs="Times New Roman"/>
      <w:b/>
      <w:bCs/>
      <w:color w:val="DD8610"/>
      <w:sz w:val="24"/>
      <w:szCs w:val="24"/>
      <w:u w:val="none"/>
    </w:rPr>
  </w:style>
  <w:style w:type="paragraph" w:customStyle="1" w:styleId="39">
    <w:name w:val="DAS正文"/>
    <w:basedOn w:val="1"/>
    <w:qFormat/>
    <w:uiPriority w:val="0"/>
    <w:pPr>
      <w:spacing w:line="360" w:lineRule="auto"/>
      <w:ind w:right="181" w:firstLine="480" w:firstLineChars="200"/>
    </w:pPr>
    <w:rPr>
      <w:rFonts w:ascii="Verdana" w:hAnsi="Verdana"/>
    </w:rPr>
  </w:style>
  <w:style w:type="paragraph" w:customStyle="1" w:styleId="40">
    <w:name w:val="无间隔1"/>
    <w:qFormat/>
    <w:uiPriority w:val="99"/>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28</Pages>
  <Words>6133</Words>
  <Characters>6535</Characters>
  <Lines>1</Lines>
  <Paragraphs>1</Paragraphs>
  <TotalTime>238</TotalTime>
  <ScaleCrop>false</ScaleCrop>
  <LinksUpToDate>false</LinksUpToDate>
  <CharactersWithSpaces>6595</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2024-09-09T16:07:00Z</dcterms:created>
  <dc:creator>Admin</dc:creator>
  <cp:lastModifiedBy>一冶槐湃苟</cp:lastModifiedBy>
  <cp:lastPrinted>2026-05-18T02:48:10Z</cp:lastPrinted>
  <dcterms:modified xsi:type="dcterms:W3CDTF">2026-05-18T06:44:20Z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6A03882E397D486FB8128FBBA825BC58_13</vt:lpwstr>
  </property>
  <property fmtid="{D5CDD505-2E9C-101B-9397-08002B2CF9AE}" pid="4" name="KSOTemplateDocerSaveRecord">
    <vt:lpwstr>eyJoZGlkIjoiMDVhNTZmMzBlYjVkMzU2OTRiNmZlNzVlNzFmYTJjMWYiLCJ1c2VySWQiOiIxNzg1MTM5NzExIn0=</vt:lpwstr>
  </property>
</Properties>
</file>