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47429">
      <w:pPr>
        <w:pStyle w:val="2"/>
        <w:spacing w:before="156" w:after="156" w:line="360" w:lineRule="auto"/>
        <w:jc w:val="center"/>
        <w:rPr>
          <w:rFonts w:hint="eastAsia" w:ascii="宋体" w:hAnsi="宋体" w:eastAsia="宋体" w:cs="宋体"/>
          <w:sz w:val="32"/>
          <w:szCs w:val="32"/>
          <w:lang w:eastAsia="zh-CN"/>
        </w:rPr>
      </w:pPr>
      <w:r>
        <w:rPr>
          <w:rFonts w:hint="eastAsia" w:ascii="宋体" w:hAnsi="宋体" w:cs="宋体"/>
          <w:sz w:val="32"/>
          <w:szCs w:val="32"/>
        </w:rPr>
        <w:t>技术</w:t>
      </w:r>
      <w:r>
        <w:rPr>
          <w:rFonts w:hint="eastAsia" w:ascii="宋体" w:hAnsi="宋体" w:cs="宋体"/>
          <w:sz w:val="32"/>
          <w:szCs w:val="32"/>
          <w:lang w:eastAsia="zh-CN"/>
        </w:rPr>
        <w:t>需求</w:t>
      </w:r>
    </w:p>
    <w:p w14:paraId="34090ECE">
      <w:pPr>
        <w:adjustRightInd w:val="0"/>
        <w:snapToGrid w:val="0"/>
        <w:spacing w:after="156" w:afterLines="50" w:line="480" w:lineRule="exact"/>
        <w:rPr>
          <w:rFonts w:hint="eastAsia" w:ascii="宋体" w:hAnsi="宋体" w:cs="宋体"/>
          <w:b/>
          <w:bCs/>
          <w:sz w:val="24"/>
          <w:szCs w:val="24"/>
        </w:rPr>
      </w:pPr>
      <w:r>
        <w:rPr>
          <w:rFonts w:hint="eastAsia" w:ascii="宋体" w:hAnsi="宋体" w:cs="宋体"/>
          <w:b/>
          <w:bCs/>
          <w:sz w:val="24"/>
          <w:szCs w:val="24"/>
        </w:rPr>
        <w:t>1、技术标准及规范：</w:t>
      </w:r>
    </w:p>
    <w:p w14:paraId="5A89BA5E">
      <w:pPr>
        <w:adjustRightInd w:val="0"/>
        <w:snapToGrid w:val="0"/>
        <w:spacing w:line="480" w:lineRule="exact"/>
        <w:rPr>
          <w:rFonts w:hint="eastAsia" w:ascii="宋体" w:hAnsi="宋体" w:cs="宋体"/>
          <w:szCs w:val="21"/>
        </w:rPr>
      </w:pPr>
      <w:r>
        <w:rPr>
          <w:rFonts w:hint="eastAsia" w:ascii="宋体" w:hAnsi="宋体" w:cs="宋体"/>
          <w:szCs w:val="21"/>
        </w:rPr>
        <w:t>1.1《工业金属管道设计规范》                          GB 50316-2008</w:t>
      </w:r>
    </w:p>
    <w:p w14:paraId="70BF9790">
      <w:pPr>
        <w:adjustRightInd w:val="0"/>
        <w:snapToGrid w:val="0"/>
        <w:spacing w:line="480" w:lineRule="exact"/>
        <w:rPr>
          <w:rFonts w:hint="eastAsia" w:ascii="宋体" w:hAnsi="宋体" w:cs="宋体"/>
          <w:szCs w:val="21"/>
        </w:rPr>
      </w:pPr>
      <w:r>
        <w:rPr>
          <w:rFonts w:hint="eastAsia" w:ascii="宋体" w:hAnsi="宋体" w:cs="宋体"/>
          <w:szCs w:val="21"/>
        </w:rPr>
        <w:t>1.2《工业金属管道工程施工规范》                      GB 50235-2010</w:t>
      </w:r>
    </w:p>
    <w:p w14:paraId="01267357">
      <w:pPr>
        <w:adjustRightInd w:val="0"/>
        <w:snapToGrid w:val="0"/>
        <w:spacing w:line="480" w:lineRule="exact"/>
        <w:rPr>
          <w:rFonts w:hint="eastAsia" w:ascii="宋体" w:hAnsi="宋体" w:cs="宋体"/>
          <w:szCs w:val="21"/>
        </w:rPr>
      </w:pPr>
      <w:r>
        <w:rPr>
          <w:rFonts w:hint="eastAsia" w:ascii="宋体" w:hAnsi="宋体" w:cs="宋体"/>
          <w:szCs w:val="21"/>
        </w:rPr>
        <w:t>1.3《现场设备、工业管道焊接工程施工规范》            GB 50236-2011</w:t>
      </w:r>
    </w:p>
    <w:p w14:paraId="3B23862E">
      <w:pPr>
        <w:spacing w:line="480" w:lineRule="exact"/>
        <w:rPr>
          <w:rFonts w:hint="eastAsia" w:ascii="宋体" w:hAnsi="宋体" w:cs="宋体"/>
          <w:szCs w:val="21"/>
        </w:rPr>
      </w:pPr>
      <w:r>
        <w:rPr>
          <w:rFonts w:hint="eastAsia" w:ascii="宋体" w:hAnsi="宋体" w:cs="宋体"/>
          <w:szCs w:val="21"/>
        </w:rPr>
        <w:t>1.4《建筑设计防火规范》                              GB 50016-2005</w:t>
      </w:r>
    </w:p>
    <w:p w14:paraId="5CDF67AE">
      <w:pPr>
        <w:spacing w:line="480" w:lineRule="exact"/>
        <w:rPr>
          <w:rFonts w:hint="eastAsia" w:ascii="宋体" w:hAnsi="宋体" w:cs="宋体"/>
          <w:szCs w:val="21"/>
        </w:rPr>
      </w:pPr>
      <w:r>
        <w:rPr>
          <w:rFonts w:hint="eastAsia" w:ascii="宋体" w:hAnsi="宋体" w:cs="宋体"/>
          <w:szCs w:val="21"/>
        </w:rPr>
        <w:t>1.5《压缩空气站设计规范》                            GB50029-2014</w:t>
      </w:r>
    </w:p>
    <w:p w14:paraId="019962C5">
      <w:pPr>
        <w:spacing w:line="480" w:lineRule="exact"/>
        <w:rPr>
          <w:rFonts w:hint="eastAsia" w:ascii="宋体" w:hAnsi="宋体" w:cs="宋体"/>
          <w:szCs w:val="21"/>
        </w:rPr>
      </w:pPr>
      <w:r>
        <w:rPr>
          <w:rFonts w:hint="eastAsia" w:ascii="宋体" w:hAnsi="宋体" w:cs="宋体"/>
          <w:szCs w:val="21"/>
        </w:rPr>
        <w:t>1.6《建筑设计防火规范》                              GB50029-2014)2018版</w:t>
      </w:r>
    </w:p>
    <w:p w14:paraId="746EC9E6">
      <w:pPr>
        <w:spacing w:line="480" w:lineRule="exact"/>
        <w:rPr>
          <w:rFonts w:hint="eastAsia" w:ascii="宋体" w:hAnsi="宋体" w:cs="宋体"/>
          <w:szCs w:val="21"/>
        </w:rPr>
      </w:pPr>
      <w:r>
        <w:rPr>
          <w:rFonts w:hint="eastAsia" w:ascii="宋体" w:hAnsi="宋体" w:cs="宋体"/>
          <w:szCs w:val="21"/>
        </w:rPr>
        <w:t>2.0《现场设备、工业管道焊接工程施工质量验收规范》    GB50683-2011</w:t>
      </w:r>
    </w:p>
    <w:p w14:paraId="59446E72">
      <w:pPr>
        <w:adjustRightInd w:val="0"/>
        <w:snapToGrid w:val="0"/>
        <w:spacing w:before="156" w:beforeLines="50" w:after="156" w:afterLines="50" w:line="480" w:lineRule="exact"/>
        <w:rPr>
          <w:rFonts w:hint="eastAsia" w:ascii="宋体" w:hAnsi="宋体" w:cs="宋体"/>
          <w:b/>
          <w:sz w:val="24"/>
          <w:szCs w:val="24"/>
        </w:rPr>
      </w:pPr>
      <w:r>
        <w:rPr>
          <w:rFonts w:hint="eastAsia" w:ascii="宋体" w:hAnsi="宋体" w:cs="宋体"/>
          <w:b/>
          <w:sz w:val="24"/>
          <w:szCs w:val="24"/>
        </w:rPr>
        <w:t>2、气体系统工程内容：</w:t>
      </w:r>
    </w:p>
    <w:p w14:paraId="314DF464">
      <w:pPr>
        <w:adjustRightInd w:val="0"/>
        <w:snapToGrid w:val="0"/>
        <w:spacing w:line="480" w:lineRule="exact"/>
        <w:rPr>
          <w:rFonts w:hint="eastAsia" w:ascii="宋体" w:hAnsi="宋体" w:cs="宋体"/>
          <w:szCs w:val="21"/>
        </w:rPr>
      </w:pPr>
      <w:r>
        <w:rPr>
          <w:rFonts w:hint="eastAsia" w:ascii="宋体" w:hAnsi="宋体" w:cs="宋体"/>
          <w:szCs w:val="21"/>
        </w:rPr>
        <w:t>2.1本项目使用的空压机放置于一层室外空压泵房，主机一用不备，后端设置相关的后处理设施（储气罐、过滤器、干燥机），保证气体质量满足用气要求，以上空压机及后处理设施由用户提供，气源出口压力约0.8Mpa。本项目气体管道需引至空压泵房的储气罐附近，末端预留管离地高度1.2m。</w:t>
      </w:r>
    </w:p>
    <w:p w14:paraId="16A5662A">
      <w:pPr>
        <w:adjustRightInd w:val="0"/>
        <w:snapToGrid w:val="0"/>
        <w:spacing w:line="480" w:lineRule="exact"/>
        <w:ind w:firstLine="420" w:firstLineChars="200"/>
        <w:rPr>
          <w:rFonts w:hint="eastAsia" w:ascii="宋体" w:hAnsi="宋体" w:cs="宋体"/>
          <w:szCs w:val="21"/>
        </w:rPr>
      </w:pPr>
      <w:r>
        <w:rPr>
          <w:rFonts w:hint="eastAsia" w:ascii="宋体" w:hAnsi="宋体" w:cs="宋体"/>
          <w:szCs w:val="21"/>
        </w:rPr>
        <w:t>四轴/三轴加工中心、龙门加工中心、五轴立式车铣复合加工中心、卧式加工中心末端设备预留1/2"球阀，并设置一分二（气动卡钳口的软管直径10mm、内径6.5mm）快速接头。普通车床、斜床身数控车床末端设备预留气枪。末端球阀及气枪安装高度为离地1.5m，不靠立柱及墙体的设备管道沿设备动力线固定杆下挂。</w:t>
      </w:r>
    </w:p>
    <w:p w14:paraId="624D17D2">
      <w:pPr>
        <w:adjustRightInd w:val="0"/>
        <w:snapToGrid w:val="0"/>
        <w:spacing w:line="480" w:lineRule="exact"/>
        <w:ind w:firstLine="420" w:firstLineChars="200"/>
        <w:rPr>
          <w:rFonts w:hint="eastAsia" w:ascii="宋体" w:hAnsi="宋体" w:cs="宋体"/>
          <w:szCs w:val="21"/>
        </w:rPr>
      </w:pPr>
      <w:r>
        <w:rPr>
          <w:rFonts w:hint="eastAsia" w:ascii="宋体" w:hAnsi="宋体" w:cs="宋体"/>
          <w:szCs w:val="21"/>
        </w:rPr>
        <w:t>管道的连接</w:t>
      </w:r>
      <w:r>
        <w:rPr>
          <w:rFonts w:ascii="宋体" w:hAnsi="宋体" w:cs="宋体"/>
          <w:szCs w:val="21"/>
        </w:rPr>
        <w:t>,</w:t>
      </w:r>
      <w:r>
        <w:rPr>
          <w:rFonts w:hint="eastAsia" w:ascii="宋体" w:hAnsi="宋体" w:cs="宋体"/>
          <w:szCs w:val="21"/>
        </w:rPr>
        <w:t>除设备、阀门等处用法兰或螺纹连接外</w:t>
      </w:r>
      <w:r>
        <w:rPr>
          <w:rFonts w:ascii="宋体" w:hAnsi="宋体" w:cs="宋体"/>
          <w:szCs w:val="21"/>
        </w:rPr>
        <w:t>,</w:t>
      </w:r>
      <w:r>
        <w:rPr>
          <w:rFonts w:hint="eastAsia" w:ascii="宋体" w:hAnsi="宋体" w:cs="宋体"/>
          <w:szCs w:val="21"/>
        </w:rPr>
        <w:t>其它部位应采用焊接。焊接必须由持合格证焊工施焊，保证焊接质量。法兰采用钢制平焊法兰。法兰及其它连接件设置应便于检修</w:t>
      </w:r>
      <w:r>
        <w:rPr>
          <w:rFonts w:ascii="宋体" w:hAnsi="宋体" w:cs="宋体"/>
          <w:szCs w:val="21"/>
        </w:rPr>
        <w:t>,</w:t>
      </w:r>
      <w:r>
        <w:rPr>
          <w:rFonts w:hint="eastAsia" w:ascii="宋体" w:hAnsi="宋体" w:cs="宋体"/>
          <w:szCs w:val="21"/>
        </w:rPr>
        <w:t>并不得紧贴墙壁、楼板及管架。</w:t>
      </w:r>
    </w:p>
    <w:p w14:paraId="4297C6D4">
      <w:pPr>
        <w:adjustRightInd w:val="0"/>
        <w:snapToGrid w:val="0"/>
        <w:spacing w:line="480" w:lineRule="exact"/>
        <w:rPr>
          <w:rFonts w:hint="eastAsia" w:ascii="宋体" w:hAnsi="宋体" w:cs="宋体"/>
          <w:szCs w:val="21"/>
        </w:rPr>
      </w:pPr>
    </w:p>
    <w:p w14:paraId="53B3904D">
      <w:pPr>
        <w:adjustRightInd w:val="0"/>
        <w:snapToGrid w:val="0"/>
        <w:spacing w:line="480" w:lineRule="exact"/>
        <w:rPr>
          <w:rFonts w:hint="eastAsia" w:ascii="宋体" w:hAnsi="宋体" w:cs="宋体"/>
          <w:b/>
          <w:bCs/>
          <w:sz w:val="24"/>
          <w:szCs w:val="24"/>
        </w:rPr>
      </w:pPr>
      <w:r>
        <w:rPr>
          <w:rFonts w:hint="eastAsia" w:ascii="宋体" w:hAnsi="宋体" w:cs="宋体"/>
          <w:b/>
          <w:sz w:val="24"/>
          <w:szCs w:val="24"/>
        </w:rPr>
        <w:t>3、供气装置</w:t>
      </w:r>
      <w:r>
        <w:rPr>
          <w:rFonts w:hint="eastAsia" w:ascii="宋体" w:hAnsi="宋体" w:cs="宋体"/>
          <w:b/>
          <w:bCs/>
          <w:sz w:val="24"/>
          <w:szCs w:val="24"/>
        </w:rPr>
        <w:t>技术要求：</w:t>
      </w:r>
    </w:p>
    <w:p w14:paraId="2AB3B948">
      <w:pPr>
        <w:adjustRightInd w:val="0"/>
        <w:snapToGrid w:val="0"/>
        <w:spacing w:line="480" w:lineRule="exact"/>
        <w:ind w:firstLine="411" w:firstLineChars="196"/>
        <w:rPr>
          <w:rFonts w:hint="eastAsia" w:ascii="宋体" w:hAnsi="宋体" w:cs="宋体"/>
          <w:szCs w:val="21"/>
        </w:rPr>
      </w:pPr>
      <w:r>
        <w:rPr>
          <w:rFonts w:hint="eastAsia" w:ascii="宋体" w:hAnsi="宋体" w:cs="宋体"/>
          <w:szCs w:val="21"/>
        </w:rPr>
        <w:t>本项目设计的主要内容为实验室的气体配管设计；实验室使用的气体均来自于室外空压机房，从气瓶间到末端用气点整个管线系统，在末端处预留阀门及软管+气枪。</w:t>
      </w:r>
    </w:p>
    <w:p w14:paraId="4BD7DACB">
      <w:pPr>
        <w:adjustRightInd w:val="0"/>
        <w:snapToGrid w:val="0"/>
        <w:spacing w:line="480" w:lineRule="exact"/>
        <w:rPr>
          <w:rFonts w:hint="eastAsia" w:ascii="宋体" w:hAnsi="宋体" w:cs="宋体"/>
          <w:szCs w:val="21"/>
        </w:rPr>
      </w:pPr>
      <w:r>
        <w:rPr>
          <w:rFonts w:hint="eastAsia" w:ascii="宋体" w:hAnsi="宋体" w:cs="宋体"/>
          <w:szCs w:val="21"/>
        </w:rPr>
        <w:t xml:space="preserve"> 3.1供气室内：管道和阀门应沿墙分布，不满足沿墙分布的从顶部直接引入使用点在使用点出固定。</w:t>
      </w:r>
    </w:p>
    <w:p w14:paraId="32F17D35">
      <w:pPr>
        <w:spacing w:line="480" w:lineRule="exact"/>
        <w:rPr>
          <w:rFonts w:hint="eastAsia" w:ascii="宋体" w:hAnsi="宋体" w:cs="宋体"/>
          <w:szCs w:val="21"/>
        </w:rPr>
      </w:pPr>
      <w:r>
        <w:rPr>
          <w:rFonts w:hint="eastAsia" w:ascii="宋体" w:hAnsi="宋体" w:cs="宋体"/>
          <w:szCs w:val="21"/>
        </w:rPr>
        <w:t xml:space="preserve"> 3.2安全要求：阀门与管道之间连接采用卡套连接方式，管道与管道之间连接采用全自动焊机焊接。</w:t>
      </w:r>
    </w:p>
    <w:p w14:paraId="755D1D76">
      <w:pPr>
        <w:tabs>
          <w:tab w:val="left" w:pos="851"/>
        </w:tabs>
        <w:adjustRightInd w:val="0"/>
        <w:snapToGrid w:val="0"/>
        <w:spacing w:line="480" w:lineRule="exact"/>
        <w:rPr>
          <w:rFonts w:hint="eastAsia" w:ascii="宋体" w:hAnsi="宋体" w:cs="宋体"/>
          <w:szCs w:val="21"/>
        </w:rPr>
      </w:pPr>
      <w:r>
        <w:rPr>
          <w:rFonts w:hint="eastAsia" w:ascii="宋体" w:hAnsi="宋体" w:cs="宋体"/>
          <w:szCs w:val="21"/>
        </w:rPr>
        <w:t>3.3本次设计的气体介质为压缩空气，各点位分布根据图纸。</w:t>
      </w:r>
    </w:p>
    <w:p w14:paraId="10403573">
      <w:pPr>
        <w:tabs>
          <w:tab w:val="left" w:pos="851"/>
        </w:tabs>
        <w:adjustRightInd w:val="0"/>
        <w:snapToGrid w:val="0"/>
        <w:spacing w:line="480" w:lineRule="exact"/>
        <w:rPr>
          <w:rFonts w:hint="eastAsia" w:ascii="宋体" w:hAnsi="宋体" w:cs="宋体"/>
          <w:szCs w:val="21"/>
        </w:rPr>
      </w:pPr>
      <w:r>
        <w:rPr>
          <w:rFonts w:hint="eastAsia" w:ascii="宋体" w:hAnsi="宋体" w:cs="宋体"/>
          <w:szCs w:val="21"/>
        </w:rPr>
        <w:t>3.4气体管道尺寸为</w:t>
      </w:r>
      <w:r>
        <w:rPr>
          <w:rFonts w:ascii="宋体" w:hAnsi="宋体" w:cs="宋体"/>
          <w:szCs w:val="21"/>
        </w:rPr>
        <w:t>38.1X1.65</w:t>
      </w:r>
      <w:r>
        <w:rPr>
          <w:rFonts w:hint="eastAsia" w:ascii="宋体" w:hAnsi="宋体" w:cs="宋体"/>
          <w:szCs w:val="21"/>
        </w:rPr>
        <w:t>mm（3/2"）</w:t>
      </w:r>
      <w:r>
        <w:rPr>
          <w:rFonts w:ascii="宋体" w:hAnsi="宋体" w:cs="宋体"/>
          <w:szCs w:val="21"/>
        </w:rPr>
        <w:t>25.4X1.65mm</w:t>
      </w:r>
      <w:r>
        <w:rPr>
          <w:rFonts w:hint="eastAsia" w:ascii="宋体" w:hAnsi="宋体" w:cs="宋体"/>
          <w:szCs w:val="21"/>
        </w:rPr>
        <w:t>（1"）、</w:t>
      </w:r>
      <w:r>
        <w:rPr>
          <w:rFonts w:ascii="宋体" w:hAnsi="宋体" w:cs="宋体"/>
          <w:szCs w:val="21"/>
        </w:rPr>
        <w:t>12.7X0.889mm</w:t>
      </w:r>
      <w:r>
        <w:rPr>
          <w:rFonts w:hint="eastAsia" w:ascii="宋体" w:hAnsi="宋体" w:cs="宋体"/>
          <w:szCs w:val="21"/>
        </w:rPr>
        <w:t>（1/2"）</w:t>
      </w:r>
    </w:p>
    <w:p w14:paraId="0A4F40BE">
      <w:pPr>
        <w:tabs>
          <w:tab w:val="left" w:pos="851"/>
        </w:tabs>
        <w:adjustRightInd w:val="0"/>
        <w:snapToGrid w:val="0"/>
        <w:spacing w:line="480" w:lineRule="exact"/>
        <w:rPr>
          <w:rFonts w:hint="eastAsia" w:ascii="宋体" w:hAnsi="宋体" w:cs="宋体"/>
          <w:szCs w:val="21"/>
        </w:rPr>
      </w:pPr>
      <w:r>
        <w:rPr>
          <w:rFonts w:hint="eastAsia" w:ascii="宋体" w:hAnsi="宋体" w:cs="宋体"/>
          <w:szCs w:val="21"/>
        </w:rPr>
        <w:t>3.5气体管道采用全自动轨道焊接的方式连接。气体从室外空压机房引出后通往各用气点，进入实验室设置相应的阀门。</w:t>
      </w:r>
    </w:p>
    <w:p w14:paraId="1D7362D6">
      <w:pPr>
        <w:tabs>
          <w:tab w:val="left" w:pos="851"/>
        </w:tabs>
        <w:adjustRightInd w:val="0"/>
        <w:snapToGrid w:val="0"/>
        <w:spacing w:line="480" w:lineRule="exact"/>
        <w:rPr>
          <w:rFonts w:hint="eastAsia" w:ascii="宋体" w:hAnsi="宋体" w:cs="宋体"/>
          <w:szCs w:val="21"/>
        </w:rPr>
      </w:pPr>
      <w:r>
        <w:rPr>
          <w:rFonts w:hint="eastAsia" w:ascii="宋体" w:hAnsi="宋体" w:cs="宋体"/>
          <w:szCs w:val="21"/>
        </w:rPr>
        <w:t>3.6系统调试、测试要求：</w:t>
      </w:r>
    </w:p>
    <w:p w14:paraId="6EA36CDA">
      <w:pPr>
        <w:adjustRightInd w:val="0"/>
        <w:snapToGrid w:val="0"/>
        <w:spacing w:line="480" w:lineRule="exact"/>
        <w:ind w:firstLine="420" w:firstLineChars="200"/>
        <w:rPr>
          <w:rFonts w:hint="eastAsia" w:ascii="宋体" w:hAnsi="宋体" w:cs="宋体"/>
          <w:szCs w:val="21"/>
        </w:rPr>
      </w:pPr>
      <w:r>
        <w:rPr>
          <w:rFonts w:hint="eastAsia" w:ascii="宋体" w:hAnsi="宋体" w:cs="宋体"/>
          <w:szCs w:val="21"/>
        </w:rPr>
        <w:t>3.6.1强度实验：管内充入高纯氮气，逐级增加压力，使压力到达1.15倍设计压力，保持此压力，如10分钟内压力不降为合格；</w:t>
      </w:r>
    </w:p>
    <w:p w14:paraId="0E93E17B">
      <w:pPr>
        <w:adjustRightInd w:val="0"/>
        <w:snapToGrid w:val="0"/>
        <w:spacing w:line="480" w:lineRule="exact"/>
        <w:ind w:firstLine="525" w:firstLineChars="250"/>
        <w:rPr>
          <w:rFonts w:hint="eastAsia" w:ascii="宋体" w:hAnsi="宋体" w:cs="宋体"/>
          <w:szCs w:val="21"/>
        </w:rPr>
      </w:pPr>
      <w:r>
        <w:rPr>
          <w:rFonts w:hint="eastAsia" w:ascii="宋体" w:hAnsi="宋体" w:cs="宋体"/>
          <w:szCs w:val="21"/>
        </w:rPr>
        <w:t>3.6.2气密性实验：管内充入高纯氮气使压力到达工作压力的1.15--1.5倍，保持此压力，如4--24小时内压力不偏差0.5%为合格；</w:t>
      </w:r>
    </w:p>
    <w:p w14:paraId="5A3DEFF1">
      <w:pPr>
        <w:adjustRightInd w:val="0"/>
        <w:snapToGrid w:val="0"/>
        <w:spacing w:line="480" w:lineRule="exact"/>
        <w:ind w:firstLine="525" w:firstLineChars="250"/>
        <w:rPr>
          <w:rFonts w:hint="eastAsia" w:ascii="宋体" w:hAnsi="宋体" w:cs="宋体"/>
          <w:szCs w:val="21"/>
        </w:rPr>
      </w:pPr>
      <w:r>
        <w:rPr>
          <w:rFonts w:hint="eastAsia" w:ascii="宋体" w:hAnsi="宋体" w:cs="宋体"/>
          <w:szCs w:val="21"/>
        </w:rPr>
        <w:t>3.6.3洁净测试：管路中充入高纯氮气,关闭所有阀门，打开末端阀用一张白布放在管口一分钟如白布上无杂质和水份即为合格。</w:t>
      </w:r>
    </w:p>
    <w:p w14:paraId="152ADC9A">
      <w:pPr>
        <w:spacing w:line="360" w:lineRule="auto"/>
        <w:ind w:firstLine="420" w:firstLineChars="200"/>
        <w:rPr>
          <w:rFonts w:hint="eastAsia" w:ascii="宋体" w:hAnsi="宋体" w:cs="宋体"/>
        </w:rPr>
      </w:pPr>
      <w:r>
        <w:rPr>
          <w:rFonts w:hint="eastAsia" w:ascii="宋体" w:hAnsi="宋体" w:cs="宋体"/>
        </w:rPr>
        <w:t xml:space="preserve">3.6.4.管道在安装过程中及安装后，应采取有效措施，防止铁屑、焊渣、沙土、及其它杂物进入或遗留在管内，并进行严格检查。  </w:t>
      </w:r>
    </w:p>
    <w:p w14:paraId="285DB093">
      <w:pPr>
        <w:adjustRightInd w:val="0"/>
        <w:snapToGrid w:val="0"/>
        <w:spacing w:line="480" w:lineRule="exact"/>
        <w:ind w:firstLine="525" w:firstLineChars="250"/>
        <w:rPr>
          <w:rFonts w:hint="eastAsia" w:ascii="宋体" w:hAnsi="宋体" w:cs="宋体"/>
          <w:szCs w:val="21"/>
        </w:rPr>
      </w:pPr>
      <w:r>
        <w:rPr>
          <w:rFonts w:hint="eastAsia" w:ascii="宋体" w:hAnsi="宋体" w:cs="宋体"/>
        </w:rPr>
        <w:t>3.6.5焊缝焊完后应立即除去渣皮、飞溅，并将表面清理干净，应进行目视检查。</w:t>
      </w:r>
    </w:p>
    <w:p w14:paraId="2D4BCCD2">
      <w:pPr>
        <w:adjustRightInd w:val="0"/>
        <w:snapToGrid w:val="0"/>
        <w:spacing w:before="156" w:beforeLines="50" w:after="156" w:afterLines="50" w:line="480" w:lineRule="exact"/>
        <w:rPr>
          <w:rFonts w:hint="eastAsia" w:ascii="宋体" w:hAnsi="宋体" w:cs="宋体"/>
          <w:b/>
          <w:sz w:val="24"/>
          <w:szCs w:val="24"/>
        </w:rPr>
      </w:pPr>
      <w:bookmarkStart w:id="0" w:name="_Toc231180191"/>
      <w:r>
        <w:rPr>
          <w:rFonts w:hint="eastAsia" w:ascii="宋体" w:hAnsi="宋体" w:cs="宋体"/>
          <w:b/>
          <w:sz w:val="24"/>
          <w:szCs w:val="24"/>
        </w:rPr>
        <w:t>4、设计实施范围：</w:t>
      </w:r>
      <w:bookmarkEnd w:id="0"/>
      <w:r>
        <w:rPr>
          <w:rFonts w:hint="eastAsia" w:ascii="宋体" w:hAnsi="宋体" w:cs="宋体"/>
          <w:b/>
          <w:sz w:val="24"/>
          <w:szCs w:val="24"/>
        </w:rPr>
        <w:tab/>
      </w:r>
    </w:p>
    <w:p w14:paraId="4FFD70D3">
      <w:pPr>
        <w:adjustRightInd w:val="0"/>
        <w:snapToGrid w:val="0"/>
        <w:spacing w:line="480" w:lineRule="exact"/>
        <w:ind w:firstLine="420" w:firstLineChars="200"/>
        <w:rPr>
          <w:rFonts w:hint="eastAsia" w:ascii="宋体" w:hAnsi="宋体" w:cs="宋体"/>
          <w:szCs w:val="21"/>
        </w:rPr>
      </w:pPr>
      <w:r>
        <w:rPr>
          <w:rFonts w:hint="eastAsia" w:ascii="宋体" w:hAnsi="宋体" w:cs="宋体"/>
          <w:szCs w:val="21"/>
        </w:rPr>
        <w:t>负责设计、安装、测试及验证整个供气系统中的硬件设施。</w:t>
      </w:r>
    </w:p>
    <w:p w14:paraId="48DE3501">
      <w:pPr>
        <w:adjustRightInd w:val="0"/>
        <w:snapToGrid w:val="0"/>
        <w:spacing w:before="156" w:beforeLines="50" w:after="156" w:afterLines="50" w:line="480" w:lineRule="exact"/>
        <w:rPr>
          <w:rFonts w:hint="eastAsia" w:ascii="宋体" w:hAnsi="宋体" w:cs="宋体"/>
          <w:b/>
          <w:sz w:val="24"/>
          <w:szCs w:val="24"/>
        </w:rPr>
      </w:pPr>
      <w:bookmarkStart w:id="1" w:name="_Toc231180192"/>
      <w:r>
        <w:rPr>
          <w:rFonts w:hint="eastAsia" w:ascii="宋体" w:hAnsi="宋体" w:cs="宋体"/>
          <w:b/>
          <w:sz w:val="24"/>
          <w:szCs w:val="24"/>
        </w:rPr>
        <w:t>5、项目内容及要求：</w:t>
      </w:r>
      <w:bookmarkEnd w:id="1"/>
    </w:p>
    <w:p w14:paraId="0FA445DA">
      <w:pPr>
        <w:adjustRightInd w:val="0"/>
        <w:snapToGrid w:val="0"/>
        <w:spacing w:line="480" w:lineRule="exact"/>
        <w:rPr>
          <w:rFonts w:hint="eastAsia" w:ascii="宋体" w:hAnsi="宋体" w:cs="宋体"/>
          <w:b/>
          <w:bCs/>
          <w:szCs w:val="21"/>
        </w:rPr>
      </w:pPr>
      <w:r>
        <w:rPr>
          <w:rFonts w:hint="eastAsia" w:ascii="宋体" w:hAnsi="宋体" w:cs="宋体"/>
          <w:b/>
          <w:bCs/>
          <w:szCs w:val="21"/>
        </w:rPr>
        <w:t>5.1整体分配系统规格：</w:t>
      </w:r>
    </w:p>
    <w:p w14:paraId="2C18718C">
      <w:pPr>
        <w:adjustRightInd w:val="0"/>
        <w:snapToGrid w:val="0"/>
        <w:spacing w:line="480" w:lineRule="exact"/>
        <w:ind w:firstLine="420" w:firstLineChars="200"/>
        <w:rPr>
          <w:rFonts w:hint="eastAsia" w:ascii="宋体" w:hAnsi="宋体" w:cs="宋体"/>
          <w:szCs w:val="21"/>
        </w:rPr>
      </w:pPr>
      <w:r>
        <w:rPr>
          <w:rFonts w:hint="eastAsia" w:ascii="宋体" w:hAnsi="宋体" w:cs="宋体"/>
          <w:szCs w:val="21"/>
        </w:rPr>
        <w:t xml:space="preserve">5.1.1气体管道由压缩空气房进入功能实验室，具体位置将根据实际建筑物装修时规划。在实验室内，气体管道需牢固的安装在设于天花板上的管道架及管道码上。有关的气体管道将由天花并通过设备服务柱（如具备）引到所需的仪器上，如没有配置服务柱，所有阀门将结合现场实际情况安装； </w:t>
      </w:r>
    </w:p>
    <w:p w14:paraId="40C8C7EC">
      <w:pPr>
        <w:adjustRightInd w:val="0"/>
        <w:snapToGrid w:val="0"/>
        <w:spacing w:line="480" w:lineRule="exact"/>
        <w:ind w:firstLine="420" w:firstLineChars="200"/>
        <w:rPr>
          <w:rFonts w:hint="eastAsia" w:ascii="宋体" w:hAnsi="宋体" w:cs="宋体"/>
          <w:szCs w:val="21"/>
        </w:rPr>
      </w:pPr>
    </w:p>
    <w:p w14:paraId="71AA8E2F">
      <w:pPr>
        <w:adjustRightInd w:val="0"/>
        <w:snapToGrid w:val="0"/>
        <w:spacing w:line="480" w:lineRule="exact"/>
        <w:ind w:firstLine="420" w:firstLineChars="200"/>
        <w:rPr>
          <w:rFonts w:hint="eastAsia" w:ascii="宋体" w:hAnsi="宋体" w:cs="宋体"/>
          <w:szCs w:val="21"/>
        </w:rPr>
      </w:pPr>
    </w:p>
    <w:p w14:paraId="371D9F08">
      <w:pPr>
        <w:adjustRightInd w:val="0"/>
        <w:snapToGrid w:val="0"/>
        <w:spacing w:line="480" w:lineRule="exact"/>
        <w:ind w:firstLine="420" w:firstLineChars="200"/>
        <w:rPr>
          <w:rFonts w:hint="eastAsia" w:ascii="宋体" w:hAnsi="宋体" w:cs="宋体"/>
          <w:szCs w:val="21"/>
        </w:rPr>
      </w:pPr>
    </w:p>
    <w:p w14:paraId="066AB66C">
      <w:pPr>
        <w:adjustRightInd w:val="0"/>
        <w:snapToGrid w:val="0"/>
        <w:spacing w:line="480" w:lineRule="exact"/>
        <w:rPr>
          <w:rFonts w:hint="eastAsia" w:ascii="宋体" w:hAnsi="宋体" w:cs="宋体"/>
          <w:b/>
          <w:bCs/>
          <w:szCs w:val="21"/>
        </w:rPr>
      </w:pPr>
      <w:r>
        <w:rPr>
          <w:rFonts w:hint="eastAsia" w:ascii="宋体" w:hAnsi="宋体" w:cs="宋体"/>
          <w:b/>
          <w:bCs/>
          <w:szCs w:val="21"/>
        </w:rPr>
        <w:t xml:space="preserve">5.2、阀门配件： </w:t>
      </w:r>
    </w:p>
    <w:p w14:paraId="46E50FC5">
      <w:pPr>
        <w:adjustRightInd w:val="0"/>
        <w:snapToGrid w:val="0"/>
        <w:spacing w:line="480" w:lineRule="exact"/>
        <w:rPr>
          <w:rFonts w:hint="eastAsia" w:ascii="宋体" w:hAnsi="宋体" w:cs="宋体"/>
          <w:szCs w:val="21"/>
        </w:rPr>
      </w:pPr>
      <w:r>
        <w:rPr>
          <w:rFonts w:hint="eastAsia" w:ascii="宋体" w:hAnsi="宋体" w:cs="宋体"/>
          <w:szCs w:val="21"/>
        </w:rPr>
        <w:t xml:space="preserve">    5.1球阀： </w:t>
      </w:r>
    </w:p>
    <w:p w14:paraId="5C9ADDCB">
      <w:pPr>
        <w:numPr>
          <w:ilvl w:val="0"/>
          <w:numId w:val="1"/>
        </w:numPr>
        <w:adjustRightInd w:val="0"/>
        <w:snapToGrid w:val="0"/>
        <w:spacing w:line="480" w:lineRule="exact"/>
        <w:rPr>
          <w:rFonts w:hint="eastAsia" w:ascii="宋体" w:hAnsi="宋体" w:cs="宋体"/>
          <w:szCs w:val="21"/>
        </w:rPr>
      </w:pPr>
      <w:r>
        <w:rPr>
          <w:rFonts w:hint="eastAsia" w:ascii="宋体" w:hAnsi="宋体" w:cs="宋体"/>
          <w:szCs w:val="21"/>
        </w:rPr>
        <w:t>配合各级减压阀组以及终端用点使用，压力范围最大0～1000psi</w:t>
      </w:r>
    </w:p>
    <w:p w14:paraId="3C3B9DCC">
      <w:pPr>
        <w:numPr>
          <w:ilvl w:val="0"/>
          <w:numId w:val="2"/>
        </w:numPr>
        <w:adjustRightInd w:val="0"/>
        <w:snapToGrid w:val="0"/>
        <w:spacing w:line="480" w:lineRule="exact"/>
        <w:rPr>
          <w:rFonts w:hint="eastAsia" w:ascii="宋体" w:hAnsi="宋体" w:cs="宋体"/>
          <w:szCs w:val="21"/>
        </w:rPr>
      </w:pPr>
      <w:r>
        <w:rPr>
          <w:rFonts w:hint="eastAsia" w:ascii="宋体" w:hAnsi="宋体" w:cs="宋体"/>
          <w:szCs w:val="21"/>
        </w:rPr>
        <w:t>泄漏速率 1*10-8 mbar.l/sec He</w:t>
      </w:r>
      <w:r>
        <w:t xml:space="preserve"> </w:t>
      </w:r>
    </w:p>
    <w:p w14:paraId="562167E9">
      <w:pPr>
        <w:numPr>
          <w:ilvl w:val="0"/>
          <w:numId w:val="3"/>
        </w:numPr>
        <w:adjustRightInd w:val="0"/>
        <w:snapToGrid w:val="0"/>
        <w:spacing w:line="480" w:lineRule="exact"/>
        <w:rPr>
          <w:rFonts w:hint="eastAsia" w:ascii="宋体" w:hAnsi="宋体" w:cs="宋体"/>
          <w:szCs w:val="21"/>
        </w:rPr>
      </w:pPr>
      <w:r>
        <w:rPr>
          <w:rFonts w:hint="eastAsia" w:ascii="宋体" w:hAnsi="宋体" w:cs="宋体"/>
          <w:szCs w:val="21"/>
        </w:rPr>
        <w:t>SS316L不锈钢材质</w:t>
      </w:r>
    </w:p>
    <w:p w14:paraId="5A9C3673">
      <w:pPr>
        <w:numPr>
          <w:ilvl w:val="0"/>
          <w:numId w:val="3"/>
        </w:numPr>
        <w:adjustRightInd w:val="0"/>
        <w:snapToGrid w:val="0"/>
        <w:spacing w:line="480" w:lineRule="exact"/>
        <w:rPr>
          <w:rFonts w:hint="eastAsia" w:ascii="宋体" w:hAnsi="宋体" w:cs="宋体"/>
          <w:szCs w:val="21"/>
        </w:rPr>
      </w:pPr>
      <w:r>
        <w:rPr>
          <w:rFonts w:hint="eastAsia" w:ascii="宋体" w:hAnsi="宋体" w:cs="宋体"/>
          <w:szCs w:val="21"/>
        </w:rPr>
        <w:t>连接方式：1/2FNPT*1/2FNPT</w:t>
      </w:r>
    </w:p>
    <w:p w14:paraId="35E1CDB1">
      <w:pPr>
        <w:adjustRightInd w:val="0"/>
        <w:snapToGrid w:val="0"/>
        <w:spacing w:line="480" w:lineRule="exact"/>
        <w:ind w:left="420"/>
        <w:rPr>
          <w:rFonts w:hint="eastAsia" w:ascii="宋体" w:hAnsi="宋体" w:eastAsia="宋体" w:cs="宋体"/>
          <w:b/>
          <w:bCs/>
          <w:szCs w:val="21"/>
          <w:lang w:eastAsia="zh-CN"/>
        </w:rPr>
      </w:pPr>
      <w:r>
        <w:rPr>
          <w:rFonts w:hint="eastAsia" w:ascii="宋体" w:hAnsi="宋体" w:cs="宋体"/>
          <w:b/>
          <w:bCs/>
          <w:szCs w:val="21"/>
        </w:rPr>
        <w:t>产品需具备：球阀压力试验检测报告。</w:t>
      </w:r>
      <w:r>
        <w:rPr>
          <w:rFonts w:hint="eastAsia" w:ascii="宋体" w:hAnsi="宋体" w:cs="宋体"/>
          <w:b/>
          <w:bCs/>
          <w:szCs w:val="21"/>
          <w:lang w:eastAsia="zh-CN"/>
        </w:rPr>
        <w:t>（</w:t>
      </w:r>
      <w:r>
        <w:rPr>
          <w:rFonts w:hint="eastAsia" w:ascii="宋体" w:hAnsi="宋体" w:cs="宋体"/>
          <w:b/>
          <w:bCs/>
          <w:szCs w:val="21"/>
          <w:lang w:val="en-US" w:eastAsia="zh-CN"/>
        </w:rPr>
        <w:t>中标后提供</w:t>
      </w:r>
      <w:r>
        <w:rPr>
          <w:rFonts w:hint="eastAsia" w:ascii="宋体" w:hAnsi="宋体" w:cs="宋体"/>
          <w:b/>
          <w:bCs/>
          <w:szCs w:val="21"/>
          <w:lang w:eastAsia="zh-CN"/>
        </w:rPr>
        <w:t>）</w:t>
      </w:r>
    </w:p>
    <w:p w14:paraId="329CD911">
      <w:pPr>
        <w:adjustRightInd w:val="0"/>
        <w:snapToGrid w:val="0"/>
        <w:spacing w:line="480" w:lineRule="exact"/>
        <w:ind w:left="420"/>
        <w:rPr>
          <w:rFonts w:hint="eastAsia" w:ascii="宋体" w:hAnsi="宋体" w:cs="宋体"/>
          <w:szCs w:val="21"/>
        </w:rPr>
      </w:pPr>
      <w:r>
        <w:rPr>
          <w:rFonts w:hint="eastAsia" w:ascii="宋体" w:hAnsi="宋体" w:cs="宋体"/>
          <w:szCs w:val="21"/>
        </w:rPr>
        <w:t>5.2</w:t>
      </w:r>
      <w:r>
        <w:rPr>
          <w:rFonts w:hint="eastAsia"/>
        </w:rPr>
        <w:t xml:space="preserve"> </w:t>
      </w:r>
      <w:r>
        <w:rPr>
          <w:rFonts w:hint="eastAsia" w:ascii="宋体" w:hAnsi="宋体" w:cs="宋体"/>
          <w:szCs w:val="21"/>
        </w:rPr>
        <w:t>不锈钢管道：</w:t>
      </w:r>
    </w:p>
    <w:p w14:paraId="46402BE1">
      <w:pPr>
        <w:numPr>
          <w:ilvl w:val="0"/>
          <w:numId w:val="2"/>
        </w:numPr>
        <w:adjustRightInd w:val="0"/>
        <w:snapToGrid w:val="0"/>
        <w:spacing w:line="480" w:lineRule="exact"/>
        <w:rPr>
          <w:rFonts w:hint="eastAsia" w:ascii="宋体" w:hAnsi="宋体" w:cs="宋体"/>
          <w:szCs w:val="21"/>
        </w:rPr>
      </w:pPr>
      <w:r>
        <w:rPr>
          <w:rFonts w:hint="eastAsia" w:ascii="宋体" w:hAnsi="宋体" w:cs="宋体"/>
          <w:szCs w:val="21"/>
        </w:rPr>
        <w:t>材质：标准316L不锈钢管道</w:t>
      </w:r>
    </w:p>
    <w:p w14:paraId="26E03440">
      <w:pPr>
        <w:numPr>
          <w:ilvl w:val="0"/>
          <w:numId w:val="3"/>
        </w:numPr>
        <w:adjustRightInd w:val="0"/>
        <w:snapToGrid w:val="0"/>
        <w:spacing w:line="480" w:lineRule="exact"/>
        <w:rPr>
          <w:rFonts w:hint="eastAsia" w:ascii="宋体" w:hAnsi="宋体" w:cs="宋体"/>
          <w:szCs w:val="21"/>
        </w:rPr>
      </w:pPr>
      <w:r>
        <w:rPr>
          <w:rFonts w:hint="eastAsia" w:ascii="宋体" w:hAnsi="宋体" w:cs="宋体"/>
          <w:szCs w:val="21"/>
        </w:rPr>
        <w:t>等级:BA</w:t>
      </w:r>
    </w:p>
    <w:p w14:paraId="0241491B">
      <w:pPr>
        <w:numPr>
          <w:ilvl w:val="0"/>
          <w:numId w:val="3"/>
        </w:numPr>
        <w:adjustRightInd w:val="0"/>
        <w:snapToGrid w:val="0"/>
        <w:spacing w:line="480" w:lineRule="exact"/>
        <w:rPr>
          <w:rFonts w:hint="eastAsia" w:ascii="宋体" w:hAnsi="宋体" w:cs="宋体"/>
          <w:szCs w:val="21"/>
        </w:rPr>
      </w:pPr>
      <w:r>
        <w:rPr>
          <w:rFonts w:hint="eastAsia" w:ascii="宋体" w:hAnsi="宋体" w:cs="宋体"/>
          <w:szCs w:val="21"/>
        </w:rPr>
        <w:t>管径：38.1X1.65mm（3/2"）25.4X1.65mm（1"）、12.7X0.889mm（1/2"）</w:t>
      </w:r>
    </w:p>
    <w:p w14:paraId="5A19286D">
      <w:pPr>
        <w:adjustRightInd w:val="0"/>
        <w:snapToGrid w:val="0"/>
        <w:spacing w:line="480" w:lineRule="exact"/>
        <w:ind w:left="420"/>
        <w:rPr>
          <w:rFonts w:hint="eastAsia" w:ascii="宋体" w:hAnsi="宋体" w:cs="宋体"/>
          <w:szCs w:val="21"/>
        </w:rPr>
      </w:pPr>
      <w:r>
        <w:rPr>
          <w:rFonts w:hint="eastAsia" w:ascii="宋体" w:hAnsi="宋体" w:cs="宋体"/>
          <w:b/>
          <w:bCs/>
          <w:szCs w:val="21"/>
        </w:rPr>
        <w:t>产品需具备：不锈钢管道空冷腐蚀及压扁试验检测报告，化学成分符合应国标牌号要求检测报告。</w:t>
      </w:r>
      <w:r>
        <w:rPr>
          <w:rFonts w:hint="eastAsia" w:ascii="宋体" w:hAnsi="宋体" w:cs="宋体"/>
          <w:b/>
          <w:bCs/>
          <w:szCs w:val="21"/>
          <w:lang w:eastAsia="zh-CN"/>
        </w:rPr>
        <w:t>（</w:t>
      </w:r>
      <w:r>
        <w:rPr>
          <w:rFonts w:hint="eastAsia" w:ascii="宋体" w:hAnsi="宋体" w:cs="宋体"/>
          <w:b/>
          <w:bCs/>
          <w:szCs w:val="21"/>
          <w:lang w:val="en-US" w:eastAsia="zh-CN"/>
        </w:rPr>
        <w:t>中标后提供</w:t>
      </w:r>
      <w:r>
        <w:rPr>
          <w:rFonts w:hint="eastAsia" w:ascii="宋体" w:hAnsi="宋体" w:cs="宋体"/>
          <w:b/>
          <w:bCs/>
          <w:szCs w:val="21"/>
          <w:lang w:eastAsia="zh-CN"/>
        </w:rPr>
        <w:t>）</w:t>
      </w:r>
      <w:bookmarkStart w:id="3" w:name="_GoBack"/>
      <w:bookmarkEnd w:id="3"/>
    </w:p>
    <w:p w14:paraId="1230D39D">
      <w:pPr>
        <w:adjustRightInd w:val="0"/>
        <w:snapToGrid w:val="0"/>
        <w:spacing w:line="480" w:lineRule="exact"/>
        <w:rPr>
          <w:rFonts w:hint="eastAsia" w:ascii="宋体" w:hAnsi="宋体" w:cs="宋体"/>
          <w:szCs w:val="21"/>
        </w:rPr>
      </w:pPr>
      <w:r>
        <w:rPr>
          <w:rFonts w:hint="eastAsia" w:ascii="宋体" w:hAnsi="宋体" w:cs="宋体"/>
          <w:b/>
          <w:bCs/>
          <w:szCs w:val="21"/>
        </w:rPr>
        <w:t>5.3、气体管道材质说明：</w:t>
      </w:r>
    </w:p>
    <w:p w14:paraId="7632E4BB">
      <w:pPr>
        <w:adjustRightInd w:val="0"/>
        <w:snapToGrid w:val="0"/>
        <w:spacing w:line="480" w:lineRule="exact"/>
        <w:rPr>
          <w:rFonts w:hint="eastAsia" w:ascii="宋体" w:hAnsi="宋体" w:cs="宋体"/>
          <w:szCs w:val="21"/>
        </w:rPr>
      </w:pPr>
      <w:r>
        <w:rPr>
          <w:rFonts w:hint="eastAsia" w:ascii="宋体" w:hAnsi="宋体" w:cs="宋体"/>
          <w:szCs w:val="21"/>
        </w:rPr>
        <w:t xml:space="preserve">    5.3.1 所有气体管道均为高素质、全退火、无缝精扎实验室专用的BA级SS316L不锈钢铸成。</w:t>
      </w:r>
    </w:p>
    <w:p w14:paraId="197DCAB4">
      <w:pPr>
        <w:adjustRightInd w:val="0"/>
        <w:snapToGrid w:val="0"/>
        <w:spacing w:line="480" w:lineRule="exact"/>
        <w:rPr>
          <w:rFonts w:hint="eastAsia" w:ascii="宋体" w:hAnsi="宋体" w:cs="宋体"/>
          <w:szCs w:val="21"/>
        </w:rPr>
      </w:pPr>
      <w:r>
        <w:rPr>
          <w:rFonts w:hint="eastAsia" w:ascii="宋体" w:hAnsi="宋体" w:cs="宋体"/>
          <w:szCs w:val="21"/>
        </w:rPr>
        <w:t xml:space="preserve">    5.3.2 所有建议的气体分配管道的阀门、均需品质良好。</w:t>
      </w:r>
    </w:p>
    <w:p w14:paraId="09D61D1B">
      <w:pPr>
        <w:adjustRightInd w:val="0"/>
        <w:snapToGrid w:val="0"/>
        <w:spacing w:line="480" w:lineRule="exact"/>
        <w:ind w:firstLine="420"/>
        <w:rPr>
          <w:rFonts w:hint="eastAsia" w:ascii="宋体" w:hAnsi="宋体" w:cs="宋体"/>
          <w:szCs w:val="21"/>
        </w:rPr>
      </w:pPr>
      <w:r>
        <w:rPr>
          <w:rFonts w:hint="eastAsia" w:ascii="宋体" w:hAnsi="宋体" w:cs="宋体"/>
          <w:szCs w:val="21"/>
        </w:rPr>
        <w:t>5.3.3管道的直径均为38.1X1.65mm（3/2"）25.4X1.65mm（1"）、12.7X0.889mm（1/2"）BA级SS316L不锈钢管。</w:t>
      </w:r>
    </w:p>
    <w:p w14:paraId="762753BF">
      <w:pPr>
        <w:adjustRightInd w:val="0"/>
        <w:snapToGrid w:val="0"/>
        <w:spacing w:line="480" w:lineRule="exact"/>
        <w:ind w:firstLine="420"/>
        <w:rPr>
          <w:rFonts w:hint="eastAsia" w:ascii="宋体" w:hAnsi="宋体" w:cs="宋体"/>
          <w:szCs w:val="21"/>
        </w:rPr>
      </w:pPr>
      <w:r>
        <w:rPr>
          <w:rFonts w:hint="eastAsia" w:ascii="宋体" w:hAnsi="宋体" w:cs="宋体"/>
          <w:szCs w:val="21"/>
        </w:rPr>
        <w:t xml:space="preserve">5.3.4管径大于1/2"的管道需采用成品弯头进行连接，1/2"及以下的管道采用煨弯制作。  </w:t>
      </w:r>
    </w:p>
    <w:p w14:paraId="5DC4B667">
      <w:pPr>
        <w:adjustRightInd w:val="0"/>
        <w:snapToGrid w:val="0"/>
        <w:spacing w:line="480" w:lineRule="exact"/>
        <w:ind w:firstLine="420"/>
        <w:rPr>
          <w:rFonts w:hint="eastAsia" w:ascii="宋体" w:hAnsi="宋体" w:cs="宋体"/>
          <w:szCs w:val="21"/>
        </w:rPr>
      </w:pPr>
      <w:r>
        <w:rPr>
          <w:rFonts w:hint="eastAsia" w:ascii="宋体" w:hAnsi="宋体" w:cs="宋体"/>
          <w:szCs w:val="21"/>
        </w:rPr>
        <w:t xml:space="preserve">5.3.5 管道上所有阀门安装位置及手轮方向皆应考虑到操作及维修之可能与方便。  </w:t>
      </w:r>
    </w:p>
    <w:p w14:paraId="5E967C89">
      <w:pPr>
        <w:adjustRightInd w:val="0"/>
        <w:snapToGrid w:val="0"/>
        <w:spacing w:line="480" w:lineRule="exact"/>
        <w:ind w:firstLine="420"/>
        <w:rPr>
          <w:rFonts w:hint="eastAsia" w:ascii="宋体" w:hAnsi="宋体" w:cs="宋体"/>
          <w:szCs w:val="21"/>
        </w:rPr>
      </w:pPr>
      <w:r>
        <w:rPr>
          <w:rFonts w:hint="eastAsia" w:ascii="宋体" w:hAnsi="宋体" w:cs="宋体"/>
          <w:szCs w:val="21"/>
        </w:rPr>
        <w:t xml:space="preserve">5.3.6 管道穿过墙壁或楼板处,均应加装保护套管,套管管径一般比工作管径大两档.套管长度比穿管处墙壁或楼板长20~30毫米。套管与空压管道之间用防火材料封堵。  </w:t>
      </w:r>
    </w:p>
    <w:p w14:paraId="4E347BEB">
      <w:pPr>
        <w:adjustRightInd w:val="0"/>
        <w:snapToGrid w:val="0"/>
        <w:spacing w:line="480" w:lineRule="exact"/>
        <w:ind w:firstLine="420"/>
        <w:rPr>
          <w:rFonts w:hint="eastAsia" w:ascii="宋体" w:hAnsi="宋体" w:cs="宋体"/>
          <w:szCs w:val="21"/>
        </w:rPr>
      </w:pPr>
      <w:r>
        <w:rPr>
          <w:rFonts w:hint="eastAsia" w:ascii="宋体" w:hAnsi="宋体" w:cs="宋体"/>
          <w:szCs w:val="21"/>
        </w:rPr>
        <w:t xml:space="preserve">5.3.7.管道支吊架间距按下表规定施工：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3"/>
        <w:gridCol w:w="900"/>
        <w:gridCol w:w="1134"/>
        <w:gridCol w:w="1134"/>
        <w:gridCol w:w="1276"/>
        <w:gridCol w:w="992"/>
        <w:gridCol w:w="1043"/>
      </w:tblGrid>
      <w:tr w14:paraId="0CA3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3" w:type="dxa"/>
          </w:tcPr>
          <w:p w14:paraId="4E82D2A4">
            <w:pPr>
              <w:adjustRightInd w:val="0"/>
              <w:snapToGrid w:val="0"/>
              <w:spacing w:line="480" w:lineRule="exact"/>
              <w:rPr>
                <w:rFonts w:hint="eastAsia" w:ascii="宋体" w:hAnsi="宋体" w:cs="宋体"/>
                <w:szCs w:val="21"/>
              </w:rPr>
            </w:pPr>
            <w:r>
              <w:rPr>
                <w:rFonts w:hint="eastAsia" w:ascii="宋体" w:hAnsi="宋体" w:cs="宋体"/>
                <w:szCs w:val="21"/>
              </w:rPr>
              <w:t>公称管径DN</w:t>
            </w:r>
          </w:p>
        </w:tc>
        <w:tc>
          <w:tcPr>
            <w:tcW w:w="900" w:type="dxa"/>
          </w:tcPr>
          <w:p w14:paraId="0BD7C97A">
            <w:pPr>
              <w:adjustRightInd w:val="0"/>
              <w:snapToGrid w:val="0"/>
              <w:spacing w:line="480" w:lineRule="exact"/>
              <w:rPr>
                <w:rFonts w:hint="eastAsia" w:ascii="宋体" w:hAnsi="宋体" w:cs="宋体"/>
                <w:szCs w:val="21"/>
              </w:rPr>
            </w:pPr>
            <w:r>
              <w:rPr>
                <w:rFonts w:hint="eastAsia" w:ascii="宋体" w:hAnsi="宋体" w:cs="宋体"/>
                <w:szCs w:val="21"/>
              </w:rPr>
              <w:t>15</w:t>
            </w:r>
          </w:p>
        </w:tc>
        <w:tc>
          <w:tcPr>
            <w:tcW w:w="1134" w:type="dxa"/>
          </w:tcPr>
          <w:p w14:paraId="7059165F">
            <w:pPr>
              <w:adjustRightInd w:val="0"/>
              <w:snapToGrid w:val="0"/>
              <w:spacing w:line="480" w:lineRule="exact"/>
              <w:rPr>
                <w:rFonts w:hint="eastAsia" w:ascii="宋体" w:hAnsi="宋体" w:cs="宋体"/>
                <w:szCs w:val="21"/>
              </w:rPr>
            </w:pPr>
            <w:r>
              <w:rPr>
                <w:rFonts w:hint="eastAsia" w:ascii="宋体" w:hAnsi="宋体" w:cs="宋体"/>
                <w:szCs w:val="21"/>
              </w:rPr>
              <w:t>25</w:t>
            </w:r>
          </w:p>
        </w:tc>
        <w:tc>
          <w:tcPr>
            <w:tcW w:w="1134" w:type="dxa"/>
          </w:tcPr>
          <w:p w14:paraId="24BC3E8A">
            <w:pPr>
              <w:adjustRightInd w:val="0"/>
              <w:snapToGrid w:val="0"/>
              <w:spacing w:line="480" w:lineRule="exact"/>
              <w:rPr>
                <w:rFonts w:hint="eastAsia" w:ascii="宋体" w:hAnsi="宋体" w:cs="宋体"/>
                <w:szCs w:val="21"/>
              </w:rPr>
            </w:pPr>
            <w:r>
              <w:rPr>
                <w:rFonts w:hint="eastAsia" w:ascii="宋体" w:hAnsi="宋体" w:cs="宋体"/>
                <w:szCs w:val="21"/>
              </w:rPr>
              <w:t>32</w:t>
            </w:r>
          </w:p>
        </w:tc>
        <w:tc>
          <w:tcPr>
            <w:tcW w:w="1276" w:type="dxa"/>
          </w:tcPr>
          <w:p w14:paraId="64B7E9B4">
            <w:pPr>
              <w:adjustRightInd w:val="0"/>
              <w:snapToGrid w:val="0"/>
              <w:spacing w:line="480" w:lineRule="exact"/>
              <w:rPr>
                <w:rFonts w:hint="eastAsia" w:ascii="宋体" w:hAnsi="宋体" w:cs="宋体"/>
                <w:szCs w:val="21"/>
              </w:rPr>
            </w:pPr>
            <w:r>
              <w:rPr>
                <w:rFonts w:hint="eastAsia" w:ascii="宋体" w:hAnsi="宋体" w:cs="宋体"/>
                <w:szCs w:val="21"/>
              </w:rPr>
              <w:t>40</w:t>
            </w:r>
          </w:p>
        </w:tc>
        <w:tc>
          <w:tcPr>
            <w:tcW w:w="992" w:type="dxa"/>
          </w:tcPr>
          <w:p w14:paraId="7E8D99B8">
            <w:pPr>
              <w:adjustRightInd w:val="0"/>
              <w:snapToGrid w:val="0"/>
              <w:spacing w:line="480" w:lineRule="exact"/>
              <w:rPr>
                <w:rFonts w:hint="eastAsia" w:ascii="宋体" w:hAnsi="宋体" w:cs="宋体"/>
                <w:szCs w:val="21"/>
              </w:rPr>
            </w:pPr>
            <w:r>
              <w:rPr>
                <w:rFonts w:hint="eastAsia" w:ascii="宋体" w:hAnsi="宋体" w:cs="宋体"/>
                <w:szCs w:val="21"/>
              </w:rPr>
              <w:t>50</w:t>
            </w:r>
          </w:p>
        </w:tc>
        <w:tc>
          <w:tcPr>
            <w:tcW w:w="1043" w:type="dxa"/>
          </w:tcPr>
          <w:p w14:paraId="194F274D">
            <w:pPr>
              <w:adjustRightInd w:val="0"/>
              <w:snapToGrid w:val="0"/>
              <w:spacing w:line="480" w:lineRule="exact"/>
              <w:rPr>
                <w:rFonts w:hint="eastAsia" w:ascii="宋体" w:hAnsi="宋体" w:cs="宋体"/>
                <w:szCs w:val="21"/>
              </w:rPr>
            </w:pPr>
            <w:r>
              <w:rPr>
                <w:rFonts w:hint="eastAsia" w:ascii="宋体" w:hAnsi="宋体" w:cs="宋体"/>
                <w:szCs w:val="21"/>
              </w:rPr>
              <w:t>65</w:t>
            </w:r>
          </w:p>
        </w:tc>
      </w:tr>
      <w:tr w14:paraId="713D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3" w:type="dxa"/>
          </w:tcPr>
          <w:p w14:paraId="73C29742">
            <w:pPr>
              <w:adjustRightInd w:val="0"/>
              <w:snapToGrid w:val="0"/>
              <w:spacing w:line="480" w:lineRule="exact"/>
              <w:rPr>
                <w:rFonts w:hint="eastAsia" w:ascii="宋体" w:hAnsi="宋体" w:cs="宋体"/>
                <w:szCs w:val="21"/>
              </w:rPr>
            </w:pPr>
            <w:r>
              <w:rPr>
                <w:rFonts w:hint="eastAsia" w:ascii="宋体" w:hAnsi="宋体" w:cs="宋体"/>
                <w:szCs w:val="21"/>
              </w:rPr>
              <w:t>最大支架间距(米)</w:t>
            </w:r>
          </w:p>
        </w:tc>
        <w:tc>
          <w:tcPr>
            <w:tcW w:w="900" w:type="dxa"/>
          </w:tcPr>
          <w:p w14:paraId="0B31ABB3">
            <w:pPr>
              <w:adjustRightInd w:val="0"/>
              <w:snapToGrid w:val="0"/>
              <w:spacing w:line="480" w:lineRule="exact"/>
              <w:rPr>
                <w:rFonts w:hint="eastAsia" w:ascii="宋体" w:hAnsi="宋体" w:cs="宋体"/>
                <w:szCs w:val="21"/>
              </w:rPr>
            </w:pPr>
            <w:r>
              <w:rPr>
                <w:rFonts w:hint="eastAsia" w:ascii="宋体" w:hAnsi="宋体" w:cs="宋体"/>
                <w:szCs w:val="21"/>
              </w:rPr>
              <w:t>1.5</w:t>
            </w:r>
          </w:p>
        </w:tc>
        <w:tc>
          <w:tcPr>
            <w:tcW w:w="1134" w:type="dxa"/>
          </w:tcPr>
          <w:p w14:paraId="0B94BB16">
            <w:pPr>
              <w:adjustRightInd w:val="0"/>
              <w:snapToGrid w:val="0"/>
              <w:spacing w:line="480" w:lineRule="exact"/>
              <w:rPr>
                <w:rFonts w:hint="eastAsia" w:ascii="宋体" w:hAnsi="宋体" w:cs="宋体"/>
                <w:szCs w:val="21"/>
              </w:rPr>
            </w:pPr>
            <w:r>
              <w:rPr>
                <w:rFonts w:hint="eastAsia" w:ascii="宋体" w:hAnsi="宋体" w:cs="宋体"/>
                <w:szCs w:val="21"/>
              </w:rPr>
              <w:t>3</w:t>
            </w:r>
          </w:p>
        </w:tc>
        <w:tc>
          <w:tcPr>
            <w:tcW w:w="1134" w:type="dxa"/>
          </w:tcPr>
          <w:p w14:paraId="63D9F24A">
            <w:pPr>
              <w:adjustRightInd w:val="0"/>
              <w:snapToGrid w:val="0"/>
              <w:spacing w:line="480" w:lineRule="exact"/>
              <w:rPr>
                <w:rFonts w:hint="eastAsia" w:ascii="宋体" w:hAnsi="宋体" w:cs="宋体"/>
                <w:szCs w:val="21"/>
              </w:rPr>
            </w:pPr>
            <w:r>
              <w:rPr>
                <w:rFonts w:hint="eastAsia" w:ascii="宋体" w:hAnsi="宋体" w:cs="宋体"/>
                <w:szCs w:val="21"/>
              </w:rPr>
              <w:t>4</w:t>
            </w:r>
          </w:p>
        </w:tc>
        <w:tc>
          <w:tcPr>
            <w:tcW w:w="1276" w:type="dxa"/>
          </w:tcPr>
          <w:p w14:paraId="3B30DCAC">
            <w:pPr>
              <w:adjustRightInd w:val="0"/>
              <w:snapToGrid w:val="0"/>
              <w:spacing w:line="480" w:lineRule="exact"/>
              <w:rPr>
                <w:rFonts w:hint="eastAsia" w:ascii="宋体" w:hAnsi="宋体" w:cs="宋体"/>
                <w:szCs w:val="21"/>
              </w:rPr>
            </w:pPr>
            <w:r>
              <w:rPr>
                <w:rFonts w:hint="eastAsia" w:ascii="宋体" w:hAnsi="宋体" w:cs="宋体"/>
                <w:szCs w:val="21"/>
              </w:rPr>
              <w:t>5</w:t>
            </w:r>
          </w:p>
        </w:tc>
        <w:tc>
          <w:tcPr>
            <w:tcW w:w="992" w:type="dxa"/>
          </w:tcPr>
          <w:p w14:paraId="5C8E7984">
            <w:pPr>
              <w:adjustRightInd w:val="0"/>
              <w:snapToGrid w:val="0"/>
              <w:spacing w:line="480" w:lineRule="exact"/>
              <w:rPr>
                <w:rFonts w:hint="eastAsia" w:ascii="宋体" w:hAnsi="宋体" w:cs="宋体"/>
                <w:szCs w:val="21"/>
              </w:rPr>
            </w:pPr>
            <w:r>
              <w:rPr>
                <w:rFonts w:hint="eastAsia" w:ascii="宋体" w:hAnsi="宋体" w:cs="宋体"/>
                <w:szCs w:val="21"/>
              </w:rPr>
              <w:t>6</w:t>
            </w:r>
          </w:p>
        </w:tc>
        <w:tc>
          <w:tcPr>
            <w:tcW w:w="1043" w:type="dxa"/>
          </w:tcPr>
          <w:p w14:paraId="60D89E49">
            <w:pPr>
              <w:adjustRightInd w:val="0"/>
              <w:snapToGrid w:val="0"/>
              <w:spacing w:line="480" w:lineRule="exact"/>
              <w:rPr>
                <w:rFonts w:hint="eastAsia" w:ascii="宋体" w:hAnsi="宋体" w:cs="宋体"/>
                <w:szCs w:val="21"/>
              </w:rPr>
            </w:pPr>
            <w:r>
              <w:rPr>
                <w:rFonts w:hint="eastAsia" w:ascii="宋体" w:hAnsi="宋体" w:cs="宋体"/>
                <w:szCs w:val="21"/>
              </w:rPr>
              <w:t>7</w:t>
            </w:r>
          </w:p>
        </w:tc>
      </w:tr>
    </w:tbl>
    <w:p w14:paraId="532D2E53">
      <w:pPr>
        <w:adjustRightInd w:val="0"/>
        <w:snapToGrid w:val="0"/>
        <w:spacing w:line="480" w:lineRule="exact"/>
        <w:rPr>
          <w:rFonts w:hint="eastAsia" w:ascii="宋体" w:hAnsi="宋体" w:cs="宋体"/>
          <w:szCs w:val="21"/>
        </w:rPr>
      </w:pPr>
    </w:p>
    <w:p w14:paraId="075719EC">
      <w:pPr>
        <w:adjustRightInd w:val="0"/>
        <w:snapToGrid w:val="0"/>
        <w:spacing w:line="480" w:lineRule="exact"/>
        <w:rPr>
          <w:rFonts w:hint="eastAsia" w:ascii="宋体" w:hAnsi="宋体" w:cs="宋体"/>
          <w:b/>
          <w:bCs/>
          <w:szCs w:val="21"/>
        </w:rPr>
      </w:pPr>
      <w:bookmarkStart w:id="2" w:name="_Toc231180194"/>
      <w:r>
        <w:rPr>
          <w:rFonts w:hint="eastAsia" w:ascii="宋体" w:hAnsi="宋体" w:cs="宋体"/>
          <w:b/>
          <w:bCs/>
          <w:szCs w:val="21"/>
        </w:rPr>
        <w:t>5.4、吹扫及测试</w:t>
      </w:r>
      <w:bookmarkEnd w:id="2"/>
      <w:r>
        <w:rPr>
          <w:rFonts w:hint="eastAsia" w:ascii="宋体" w:hAnsi="宋体" w:cs="宋体"/>
          <w:b/>
          <w:bCs/>
          <w:szCs w:val="21"/>
        </w:rPr>
        <w:t xml:space="preserve">： </w:t>
      </w:r>
    </w:p>
    <w:p w14:paraId="338A1833">
      <w:pPr>
        <w:spacing w:line="360" w:lineRule="auto"/>
        <w:rPr>
          <w:rFonts w:hint="eastAsia" w:ascii="宋体" w:hAnsi="宋体" w:cs="宋体"/>
          <w:szCs w:val="21"/>
        </w:rPr>
      </w:pPr>
      <w:r>
        <w:rPr>
          <w:rFonts w:hint="eastAsia" w:ascii="宋体" w:hAnsi="宋体" w:cs="宋体"/>
          <w:szCs w:val="21"/>
        </w:rPr>
        <w:t>管道系统试验合格后，应采用压缩空气进行吹扫，吹扫压力不得大于管道的设计压力，气流速度≮20米/秒，压缩空气吹扫时,在排气口用贴白布或涂白漆的木制靶板检查,如五分钟后检查其上无铁锈、尘土、水分及其它脏物即为合格。</w:t>
      </w:r>
    </w:p>
    <w:p w14:paraId="53CF2F79">
      <w:pPr>
        <w:spacing w:line="360" w:lineRule="auto"/>
        <w:rPr>
          <w:rFonts w:hint="eastAsia" w:ascii="宋体" w:hAnsi="宋体" w:cs="宋体"/>
          <w:b/>
          <w:bCs/>
        </w:rPr>
      </w:pPr>
      <w:r>
        <w:rPr>
          <w:rFonts w:hint="eastAsia" w:ascii="宋体" w:hAnsi="宋体" w:cs="宋体"/>
          <w:b/>
          <w:bCs/>
        </w:rPr>
        <w:t>6、验收标准：</w:t>
      </w:r>
    </w:p>
    <w:p w14:paraId="4E5D11B8">
      <w:pPr>
        <w:spacing w:line="360" w:lineRule="auto"/>
        <w:ind w:firstLine="420" w:firstLineChars="200"/>
        <w:rPr>
          <w:rFonts w:hint="eastAsia" w:ascii="宋体" w:hAnsi="宋体" w:cs="宋体"/>
        </w:rPr>
      </w:pPr>
      <w:r>
        <w:rPr>
          <w:rFonts w:hint="eastAsia" w:ascii="宋体" w:hAnsi="宋体" w:cs="宋体"/>
        </w:rPr>
        <w:t>6.1强度测试：强度实验的实验压力是设计压力的1.15倍。气压试验前，应用氮气等惰性气体进行预试验，气压试验时，应逐步缓慢增加压力，当压力升至试验压力的50%时，如未发现异状或泄漏，应继续按试验压力的10%逐级升压，每级稳压3min，直至试验压力。应在试验压力下保持30min，压力不变为合格；</w:t>
      </w:r>
    </w:p>
    <w:p w14:paraId="637D94BC">
      <w:pPr>
        <w:spacing w:line="360" w:lineRule="auto"/>
        <w:ind w:firstLine="420" w:firstLineChars="200"/>
        <w:rPr>
          <w:rFonts w:hint="eastAsia" w:ascii="宋体" w:hAnsi="宋体" w:cs="宋体"/>
        </w:rPr>
      </w:pPr>
      <w:r>
        <w:rPr>
          <w:rFonts w:hint="eastAsia" w:ascii="宋体" w:hAnsi="宋体" w:cs="宋体"/>
        </w:rPr>
        <w:t>6.2密闭实验：泄漏性试验应逐级缓慢升压，当达到试验压力（试验压力为使用压力1.05倍）下保压24小时，无压降视为合格。</w:t>
      </w:r>
    </w:p>
    <w:p w14:paraId="63BFE8C8">
      <w:pPr>
        <w:spacing w:line="360" w:lineRule="auto"/>
        <w:rPr>
          <w:rFonts w:hint="eastAsia" w:ascii="宋体" w:hAnsi="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042A7"/>
    <w:multiLevelType w:val="singleLevel"/>
    <w:tmpl w:val="9AA042A7"/>
    <w:lvl w:ilvl="0" w:tentative="0">
      <w:start w:val="1"/>
      <w:numFmt w:val="bullet"/>
      <w:lvlText w:val=""/>
      <w:lvlJc w:val="left"/>
      <w:pPr>
        <w:ind w:left="840" w:hanging="420"/>
      </w:pPr>
      <w:rPr>
        <w:rFonts w:hint="default" w:ascii="Wingdings" w:hAnsi="Wingdings"/>
      </w:rPr>
    </w:lvl>
  </w:abstractNum>
  <w:abstractNum w:abstractNumId="1">
    <w:nsid w:val="D0348AF1"/>
    <w:multiLevelType w:val="singleLevel"/>
    <w:tmpl w:val="D0348AF1"/>
    <w:lvl w:ilvl="0" w:tentative="0">
      <w:start w:val="1"/>
      <w:numFmt w:val="bullet"/>
      <w:lvlText w:val=""/>
      <w:lvlJc w:val="left"/>
      <w:pPr>
        <w:ind w:left="840" w:hanging="420"/>
      </w:pPr>
      <w:rPr>
        <w:rFonts w:hint="default" w:ascii="Wingdings" w:hAnsi="Wingdings"/>
      </w:rPr>
    </w:lvl>
  </w:abstractNum>
  <w:abstractNum w:abstractNumId="2">
    <w:nsid w:val="4C021778"/>
    <w:multiLevelType w:val="singleLevel"/>
    <w:tmpl w:val="4C021778"/>
    <w:lvl w:ilvl="0" w:tentative="0">
      <w:start w:val="1"/>
      <w:numFmt w:val="bullet"/>
      <w:lvlText w:val=""/>
      <w:lvlJc w:val="left"/>
      <w:pPr>
        <w:ind w:left="84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5A5"/>
    <w:rsid w:val="000416F9"/>
    <w:rsid w:val="0004626D"/>
    <w:rsid w:val="000615D9"/>
    <w:rsid w:val="00070610"/>
    <w:rsid w:val="000C0AEE"/>
    <w:rsid w:val="000E0A7A"/>
    <w:rsid w:val="001630BE"/>
    <w:rsid w:val="00172A27"/>
    <w:rsid w:val="00177BA6"/>
    <w:rsid w:val="001B3C6C"/>
    <w:rsid w:val="002613EB"/>
    <w:rsid w:val="002E7952"/>
    <w:rsid w:val="00301920"/>
    <w:rsid w:val="00311D74"/>
    <w:rsid w:val="00317B1D"/>
    <w:rsid w:val="003D7D77"/>
    <w:rsid w:val="003E172C"/>
    <w:rsid w:val="003F54A3"/>
    <w:rsid w:val="00411711"/>
    <w:rsid w:val="0042183E"/>
    <w:rsid w:val="00444034"/>
    <w:rsid w:val="0046063E"/>
    <w:rsid w:val="004A2AF7"/>
    <w:rsid w:val="004A6B68"/>
    <w:rsid w:val="0055629B"/>
    <w:rsid w:val="00565F2F"/>
    <w:rsid w:val="0061090B"/>
    <w:rsid w:val="00691E3E"/>
    <w:rsid w:val="006B14D2"/>
    <w:rsid w:val="006C745B"/>
    <w:rsid w:val="006D6748"/>
    <w:rsid w:val="0071656E"/>
    <w:rsid w:val="00796B40"/>
    <w:rsid w:val="007D63B1"/>
    <w:rsid w:val="007F1238"/>
    <w:rsid w:val="008C1BD9"/>
    <w:rsid w:val="008E683C"/>
    <w:rsid w:val="009A4F47"/>
    <w:rsid w:val="009B2DAC"/>
    <w:rsid w:val="009C4663"/>
    <w:rsid w:val="00A35863"/>
    <w:rsid w:val="00A75C89"/>
    <w:rsid w:val="00B91DEB"/>
    <w:rsid w:val="00BE09E5"/>
    <w:rsid w:val="00C933BC"/>
    <w:rsid w:val="00D5221D"/>
    <w:rsid w:val="00D65EC4"/>
    <w:rsid w:val="00DA2B97"/>
    <w:rsid w:val="00DA6BED"/>
    <w:rsid w:val="00E0289B"/>
    <w:rsid w:val="00E04D10"/>
    <w:rsid w:val="00E23C03"/>
    <w:rsid w:val="00E90007"/>
    <w:rsid w:val="00F94845"/>
    <w:rsid w:val="00FC744A"/>
    <w:rsid w:val="00FE6DE4"/>
    <w:rsid w:val="00FF428E"/>
    <w:rsid w:val="0BE46FF1"/>
    <w:rsid w:val="4D47005F"/>
    <w:rsid w:val="7CD65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1"/>
    <w:qFormat/>
    <w:uiPriority w:val="0"/>
    <w:pPr>
      <w:keepNext/>
      <w:keepLines/>
      <w:spacing w:before="340" w:after="330" w:line="576"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unhideWhenUsed/>
    <w:qFormat/>
    <w:uiPriority w:val="0"/>
    <w:pPr>
      <w:ind w:firstLine="420"/>
    </w:pPr>
    <w:rPr>
      <w:szCs w:val="20"/>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1 字符"/>
    <w:basedOn w:val="8"/>
    <w:link w:val="2"/>
    <w:qFormat/>
    <w:uiPriority w:val="0"/>
    <w:rPr>
      <w:rFonts w:ascii="Times New Roman" w:hAnsi="Times New Roman" w:eastAsia="宋体" w:cs="Times New Roman"/>
      <w:b/>
      <w:bCs/>
      <w:kern w:val="44"/>
      <w:sz w:val="44"/>
      <w:szCs w:val="44"/>
    </w:rPr>
  </w:style>
  <w:style w:type="paragraph" w:styleId="12">
    <w:name w:val="List Paragraph"/>
    <w:basedOn w:val="1"/>
    <w:qFormat/>
    <w:uiPriority w:val="34"/>
    <w:pPr>
      <w:ind w:firstLine="420" w:firstLineChars="200"/>
    </w:pPr>
  </w:style>
  <w:style w:type="paragraph" w:customStyle="1" w:styleId="13">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character" w:customStyle="1" w:styleId="14">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1643</Words>
  <Characters>2043</Characters>
  <Lines>18</Lines>
  <Paragraphs>5</Paragraphs>
  <TotalTime>12</TotalTime>
  <ScaleCrop>false</ScaleCrop>
  <LinksUpToDate>false</LinksUpToDate>
  <CharactersWithSpaces>2236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2024-07-01T10:38:00Z</dcterms:created>
  <dc:creator>HZXY</dc:creator>
  <cp:lastModifiedBy>ㅤ</cp:lastModifiedBy>
  <dcterms:modified xsi:type="dcterms:W3CDTF">2026-08-25T06:38:19Z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eyJoZGlkIjoiMDVhNTZmMzBlYjVkMzU2OTRiNmZlNzVlNzFmYTJjMWYiLCJ1c2VySWQiOiIxOTg4OTU0MzEifQ==</vt:lpwstr>
  </property>
  <property fmtid="{D5CDD505-2E9C-101B-9397-08002B2CF9AE}" pid="3" name="KSOProductBuildVer">
    <vt:lpwstr>2052-12.1.0.28043</vt:lpwstr>
  </property>
  <property fmtid="{D5CDD505-2E9C-101B-9397-08002B2CF9AE}" pid="4" name="ICV">
    <vt:lpwstr>88DDD001E3AC433E93B9B8A36F85F737_12</vt:lpwstr>
  </property>
</Properties>
</file>