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9F58C7">
      <w:pPr>
        <w:tabs>
          <w:tab w:val="left" w:pos="1285"/>
          <w:tab w:val="center" w:pos="4652"/>
        </w:tabs>
        <w:spacing w:line="360" w:lineRule="auto"/>
        <w:jc w:val="center"/>
        <w:rPr>
          <w:rFonts w:hint="eastAsia" w:ascii="宋体" w:hAnsi="宋体" w:eastAsia="宋体" w:cs="宋体"/>
          <w:b/>
          <w:bCs/>
          <w:sz w:val="52"/>
          <w:szCs w:val="52"/>
          <w:highlight w:val="none"/>
          <w:lang w:val="en-US" w:eastAsia="zh-CN"/>
        </w:rPr>
      </w:pPr>
    </w:p>
    <w:p w14:paraId="0040F650">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highlight w:val="none"/>
          <w:lang w:val="en-US" w:eastAsia="zh-CN"/>
        </w:rPr>
        <w:t>2025党委</w:t>
      </w:r>
      <w:r>
        <w:rPr>
          <w:rFonts w:hint="eastAsia" w:ascii="宋体" w:hAnsi="宋体" w:eastAsia="宋体" w:cs="宋体"/>
          <w:b/>
          <w:bCs/>
          <w:sz w:val="52"/>
          <w:szCs w:val="52"/>
          <w:highlight w:val="none"/>
          <w:lang w:eastAsia="zh-CN"/>
        </w:rPr>
        <w:t>宣传部舆情</w:t>
      </w:r>
      <w:r>
        <w:rPr>
          <w:rFonts w:hint="eastAsia" w:ascii="宋体" w:hAnsi="宋体" w:eastAsia="宋体" w:cs="宋体"/>
          <w:b/>
          <w:bCs/>
          <w:sz w:val="52"/>
          <w:szCs w:val="52"/>
        </w:rPr>
        <w:t>采购项目</w:t>
      </w:r>
    </w:p>
    <w:p w14:paraId="40674103">
      <w:pPr>
        <w:tabs>
          <w:tab w:val="left" w:pos="1285"/>
          <w:tab w:val="center" w:pos="4652"/>
        </w:tabs>
        <w:spacing w:line="360" w:lineRule="auto"/>
        <w:jc w:val="center"/>
        <w:rPr>
          <w:rFonts w:hint="eastAsia" w:ascii="宋体" w:hAnsi="宋体" w:eastAsia="宋体" w:cs="宋体"/>
          <w:b/>
          <w:bCs/>
          <w:sz w:val="52"/>
          <w:szCs w:val="52"/>
        </w:rPr>
      </w:pPr>
    </w:p>
    <w:p w14:paraId="53F031FF">
      <w:pPr>
        <w:tabs>
          <w:tab w:val="left" w:pos="1285"/>
          <w:tab w:val="center" w:pos="4652"/>
        </w:tabs>
        <w:spacing w:line="360" w:lineRule="auto"/>
        <w:jc w:val="center"/>
        <w:rPr>
          <w:rFonts w:hint="eastAsia" w:ascii="宋体" w:hAnsi="宋体" w:eastAsia="宋体" w:cs="宋体"/>
          <w:b/>
          <w:bCs/>
          <w:sz w:val="52"/>
          <w:szCs w:val="52"/>
        </w:rPr>
      </w:pPr>
    </w:p>
    <w:p w14:paraId="40C18A6B">
      <w:pPr>
        <w:pStyle w:val="13"/>
        <w:ind w:firstLine="0" w:firstLineChars="0"/>
        <w:jc w:val="center"/>
      </w:pPr>
    </w:p>
    <w:p w14:paraId="4D003511">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招标文件</w:t>
      </w:r>
    </w:p>
    <w:p w14:paraId="28EFA4DE">
      <w:pPr>
        <w:pStyle w:val="13"/>
        <w:ind w:firstLine="0" w:firstLineChars="0"/>
        <w:jc w:val="center"/>
      </w:pPr>
    </w:p>
    <w:p w14:paraId="3AE07510">
      <w:pPr>
        <w:spacing w:line="480" w:lineRule="auto"/>
        <w:jc w:val="center"/>
        <w:rPr>
          <w:rFonts w:hint="eastAsia" w:ascii="宋体" w:hAnsi="宋体" w:eastAsia="宋体" w:cs="宋体"/>
          <w:b/>
          <w:bCs/>
          <w:sz w:val="32"/>
          <w:szCs w:val="32"/>
        </w:rPr>
      </w:pPr>
    </w:p>
    <w:p w14:paraId="031D33AF">
      <w:pPr>
        <w:pStyle w:val="13"/>
        <w:ind w:firstLine="0" w:firstLineChars="0"/>
        <w:jc w:val="center"/>
        <w:rPr>
          <w:rFonts w:hint="eastAsia" w:ascii="宋体" w:hAnsi="宋体" w:cs="宋体"/>
          <w:b/>
          <w:bCs/>
          <w:sz w:val="32"/>
          <w:szCs w:val="32"/>
        </w:rPr>
      </w:pPr>
    </w:p>
    <w:p w14:paraId="294366C4">
      <w:pPr>
        <w:jc w:val="center"/>
      </w:pPr>
    </w:p>
    <w:p w14:paraId="5F6BBDFB">
      <w:pPr>
        <w:jc w:val="center"/>
        <w:rPr>
          <w:rFonts w:hint="eastAsia" w:ascii="宋体" w:hAnsi="宋体" w:eastAsia="宋体" w:cs="宋体"/>
          <w:b/>
          <w:bCs/>
          <w:sz w:val="32"/>
          <w:szCs w:val="32"/>
        </w:rPr>
      </w:pPr>
    </w:p>
    <w:p w14:paraId="1D69FDB9">
      <w:pPr>
        <w:pStyle w:val="13"/>
        <w:ind w:firstLine="0" w:firstLineChars="0"/>
        <w:jc w:val="center"/>
      </w:pPr>
    </w:p>
    <w:p w14:paraId="0236BAA5">
      <w:pPr>
        <w:spacing w:line="480" w:lineRule="auto"/>
        <w:ind w:left="210" w:leftChars="100" w:firstLine="2570" w:firstLineChars="800"/>
        <w:rPr>
          <w:rFonts w:hint="eastAsia" w:ascii="宋体" w:hAnsi="宋体" w:eastAsia="宋体" w:cs="宋体"/>
          <w:b/>
          <w:bCs/>
          <w:sz w:val="32"/>
          <w:szCs w:val="32"/>
          <w:highlight w:val="none"/>
          <w:lang w:eastAsia="zh-CN"/>
        </w:rPr>
      </w:pPr>
      <w:r>
        <w:rPr>
          <w:rFonts w:hint="eastAsia" w:ascii="宋体" w:hAnsi="宋体" w:eastAsia="宋体" w:cs="宋体"/>
          <w:b/>
          <w:bCs/>
          <w:sz w:val="32"/>
          <w:szCs w:val="32"/>
          <w:highlight w:val="none"/>
        </w:rPr>
        <w:t>项目编号：</w:t>
      </w:r>
      <w:r>
        <w:rPr>
          <w:rFonts w:hint="eastAsia" w:ascii="宋体" w:hAnsi="宋体" w:eastAsia="宋体" w:cs="宋体"/>
          <w:b/>
          <w:bCs/>
          <w:sz w:val="32"/>
          <w:szCs w:val="32"/>
          <w:highlight w:val="none"/>
          <w:lang w:eastAsia="zh-CN"/>
        </w:rPr>
        <w:t>XZ20250</w:t>
      </w:r>
      <w:r>
        <w:rPr>
          <w:rFonts w:hint="eastAsia" w:ascii="宋体" w:hAnsi="宋体" w:eastAsia="宋体" w:cs="宋体"/>
          <w:b/>
          <w:bCs/>
          <w:sz w:val="32"/>
          <w:szCs w:val="32"/>
          <w:highlight w:val="none"/>
          <w:lang w:val="en-US" w:eastAsia="zh-CN"/>
        </w:rPr>
        <w:t>13</w:t>
      </w:r>
      <w:r>
        <w:rPr>
          <w:rFonts w:hint="eastAsia" w:ascii="宋体" w:hAnsi="宋体" w:eastAsia="宋体" w:cs="宋体"/>
          <w:b/>
          <w:bCs/>
          <w:sz w:val="32"/>
          <w:szCs w:val="32"/>
          <w:highlight w:val="none"/>
          <w:lang w:eastAsia="zh-CN"/>
        </w:rPr>
        <w:t>A</w:t>
      </w:r>
    </w:p>
    <w:p w14:paraId="2E271565">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采 购 人：湖州学院</w:t>
      </w:r>
    </w:p>
    <w:p w14:paraId="2018A0B9">
      <w:pPr>
        <w:spacing w:line="480" w:lineRule="auto"/>
        <w:ind w:left="210" w:leftChars="100" w:firstLine="2570" w:firstLineChars="800"/>
        <w:jc w:val="left"/>
        <w:rPr>
          <w:rFonts w:hint="eastAsia" w:ascii="宋体" w:hAnsi="宋体" w:eastAsia="宋体" w:cs="宋体"/>
          <w:b/>
          <w:bCs/>
          <w:sz w:val="32"/>
          <w:szCs w:val="32"/>
          <w:lang w:eastAsia="zh-CN"/>
        </w:rPr>
      </w:pPr>
      <w:r>
        <w:rPr>
          <w:rFonts w:hint="eastAsia" w:ascii="宋体" w:hAnsi="宋体" w:eastAsia="宋体" w:cs="宋体"/>
          <w:b/>
          <w:bCs/>
          <w:sz w:val="32"/>
          <w:szCs w:val="32"/>
        </w:rPr>
        <w:t>采购部门：</w:t>
      </w:r>
      <w:r>
        <w:rPr>
          <w:rFonts w:hint="eastAsia" w:ascii="宋体" w:hAnsi="宋体" w:eastAsia="宋体" w:cs="宋体"/>
          <w:b/>
          <w:bCs/>
          <w:sz w:val="32"/>
          <w:szCs w:val="32"/>
          <w:lang w:val="en-US" w:eastAsia="zh-CN"/>
        </w:rPr>
        <w:t>宣传部</w:t>
      </w:r>
    </w:p>
    <w:p w14:paraId="093AA964">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日    期：2025年</w:t>
      </w:r>
      <w:r>
        <w:rPr>
          <w:rFonts w:hint="eastAsia" w:ascii="宋体" w:hAnsi="宋体" w:eastAsia="宋体" w:cs="宋体"/>
          <w:b/>
          <w:bCs/>
          <w:sz w:val="32"/>
          <w:szCs w:val="32"/>
          <w:lang w:val="en-US" w:eastAsia="zh-CN"/>
        </w:rPr>
        <w:t>10</w:t>
      </w:r>
      <w:r>
        <w:rPr>
          <w:rFonts w:hint="eastAsia" w:ascii="宋体" w:hAnsi="宋体" w:eastAsia="宋体" w:cs="宋体"/>
          <w:b/>
          <w:bCs/>
          <w:sz w:val="32"/>
          <w:szCs w:val="32"/>
        </w:rPr>
        <w:t>月</w:t>
      </w:r>
    </w:p>
    <w:p w14:paraId="44110F5E">
      <w:pPr>
        <w:pStyle w:val="13"/>
        <w:ind w:firstLine="321"/>
        <w:rPr>
          <w:rFonts w:hint="eastAsia" w:ascii="宋体" w:hAnsi="宋体" w:cs="宋体"/>
          <w:b/>
          <w:bCs/>
          <w:sz w:val="32"/>
          <w:szCs w:val="32"/>
        </w:rPr>
      </w:pPr>
    </w:p>
    <w:p w14:paraId="4A80E117">
      <w:pPr>
        <w:sectPr>
          <w:headerReference r:id="rId3" w:type="default"/>
          <w:footerReference r:id="rId4" w:type="default"/>
          <w:pgSz w:w="11906" w:h="16838"/>
          <w:pgMar w:top="1134" w:right="1531" w:bottom="992" w:left="1531" w:header="851" w:footer="992" w:gutter="0"/>
          <w:cols w:space="0" w:num="1"/>
          <w:titlePg/>
          <w:docGrid w:type="lines" w:linePitch="312" w:charSpace="0"/>
        </w:sectPr>
      </w:pPr>
    </w:p>
    <w:p w14:paraId="02ED4A5E">
      <w:pPr>
        <w:pStyle w:val="19"/>
        <w:rPr>
          <w:rFonts w:ascii="仿宋" w:hAnsi="仿宋" w:eastAsia="仿宋" w:cs="仿宋"/>
          <w:szCs w:val="36"/>
        </w:rPr>
      </w:pPr>
      <w:r>
        <w:rPr>
          <w:rFonts w:ascii="仿宋" w:hAnsi="仿宋" w:eastAsia="仿宋" w:cs="仿宋"/>
        </w:rPr>
        <w:t>招标概况</w:t>
      </w:r>
    </w:p>
    <w:p w14:paraId="7323F2A8">
      <w:pPr>
        <w:pStyle w:val="20"/>
        <w:rPr>
          <w:rFonts w:ascii="仿宋" w:hAnsi="仿宋" w:eastAsia="仿宋" w:cs="仿宋"/>
        </w:rPr>
      </w:pPr>
      <w:r>
        <w:rPr>
          <w:rFonts w:ascii="仿宋" w:hAnsi="仿宋" w:eastAsia="仿宋" w:cs="仿宋"/>
        </w:rPr>
        <w:t>一、项目基本情况</w:t>
      </w:r>
    </w:p>
    <w:p w14:paraId="56AC0A25">
      <w:pPr>
        <w:pStyle w:val="21"/>
        <w:numPr>
          <w:ilvl w:val="0"/>
          <w:numId w:val="1"/>
        </w:numPr>
        <w:ind w:firstLineChars="0"/>
        <w:rPr>
          <w:rFonts w:ascii="仿宋" w:hAnsi="仿宋" w:eastAsia="仿宋" w:cs="仿宋"/>
          <w:highlight w:val="none"/>
        </w:rPr>
      </w:pPr>
      <w:r>
        <w:rPr>
          <w:rFonts w:ascii="仿宋" w:hAnsi="仿宋" w:eastAsia="仿宋" w:cs="仿宋"/>
          <w:highlight w:val="none"/>
        </w:rPr>
        <w:t>项目名称：</w:t>
      </w:r>
      <w:r>
        <w:rPr>
          <w:rFonts w:hint="eastAsia" w:ascii="仿宋" w:hAnsi="仿宋" w:eastAsia="仿宋" w:cs="仿宋"/>
          <w:highlight w:val="none"/>
          <w:lang w:eastAsia="zh-CN"/>
        </w:rPr>
        <w:t>2025党委宣传部舆情采购项目</w:t>
      </w:r>
      <w:r>
        <w:rPr>
          <w:rFonts w:ascii="仿宋" w:hAnsi="仿宋" w:eastAsia="仿宋" w:cs="仿宋"/>
          <w:highlight w:val="none"/>
        </w:rPr>
        <w:t>；</w:t>
      </w:r>
    </w:p>
    <w:p w14:paraId="5EA84132">
      <w:pPr>
        <w:pStyle w:val="21"/>
        <w:numPr>
          <w:ilvl w:val="0"/>
          <w:numId w:val="1"/>
        </w:numPr>
        <w:ind w:firstLineChars="0"/>
        <w:rPr>
          <w:rFonts w:ascii="仿宋" w:hAnsi="仿宋" w:eastAsia="仿宋" w:cs="仿宋"/>
          <w:highlight w:val="none"/>
        </w:rPr>
      </w:pPr>
      <w:r>
        <w:rPr>
          <w:rFonts w:ascii="仿宋" w:hAnsi="仿宋" w:eastAsia="仿宋" w:cs="仿宋"/>
          <w:highlight w:val="none"/>
        </w:rPr>
        <w:t>采购编号：</w:t>
      </w:r>
      <w:r>
        <w:rPr>
          <w:rFonts w:hint="eastAsia" w:ascii="仿宋" w:hAnsi="仿宋" w:eastAsia="仿宋" w:cs="仿宋"/>
          <w:highlight w:val="none"/>
          <w:lang w:eastAsia="zh-CN"/>
        </w:rPr>
        <w:t>XZ20250</w:t>
      </w:r>
      <w:r>
        <w:rPr>
          <w:rFonts w:hint="eastAsia" w:ascii="仿宋" w:hAnsi="仿宋" w:eastAsia="仿宋" w:cs="仿宋"/>
          <w:highlight w:val="none"/>
          <w:lang w:val="en-US" w:eastAsia="zh-CN"/>
        </w:rPr>
        <w:t>13</w:t>
      </w:r>
      <w:r>
        <w:rPr>
          <w:rFonts w:hint="eastAsia" w:ascii="仿宋" w:hAnsi="仿宋" w:eastAsia="仿宋" w:cs="仿宋"/>
          <w:highlight w:val="none"/>
          <w:lang w:eastAsia="zh-CN"/>
        </w:rPr>
        <w:t>A</w:t>
      </w:r>
      <w:r>
        <w:rPr>
          <w:rFonts w:ascii="仿宋" w:hAnsi="仿宋" w:eastAsia="仿宋" w:cs="仿宋"/>
          <w:highlight w:val="none"/>
        </w:rPr>
        <w:t>；</w:t>
      </w:r>
    </w:p>
    <w:p w14:paraId="4A2DE3D3">
      <w:pPr>
        <w:pStyle w:val="21"/>
        <w:numPr>
          <w:ilvl w:val="0"/>
          <w:numId w:val="1"/>
        </w:numPr>
        <w:ind w:firstLineChars="0"/>
        <w:rPr>
          <w:rFonts w:ascii="仿宋" w:hAnsi="仿宋" w:eastAsia="仿宋" w:cs="仿宋"/>
          <w:highlight w:val="none"/>
        </w:rPr>
      </w:pPr>
      <w:r>
        <w:rPr>
          <w:rFonts w:ascii="仿宋" w:hAnsi="仿宋" w:eastAsia="仿宋" w:cs="仿宋"/>
          <w:highlight w:val="none"/>
        </w:rPr>
        <w:t>采购方式：校内公开招标；</w:t>
      </w:r>
    </w:p>
    <w:p w14:paraId="42EFE7ED">
      <w:pPr>
        <w:pStyle w:val="21"/>
        <w:numPr>
          <w:ilvl w:val="0"/>
          <w:numId w:val="1"/>
        </w:numPr>
        <w:ind w:firstLineChars="0"/>
        <w:rPr>
          <w:rFonts w:ascii="仿宋" w:hAnsi="仿宋" w:eastAsia="仿宋" w:cs="仿宋"/>
          <w:highlight w:val="none"/>
        </w:rPr>
      </w:pPr>
      <w:r>
        <w:rPr>
          <w:rFonts w:ascii="仿宋" w:hAnsi="仿宋" w:eastAsia="仿宋" w:cs="仿宋"/>
          <w:highlight w:val="none"/>
        </w:rPr>
        <w:t>采购预算（最高限价）：人民币</w:t>
      </w:r>
      <w:r>
        <w:rPr>
          <w:rFonts w:hint="eastAsia" w:ascii="仿宋" w:hAnsi="仿宋" w:eastAsia="仿宋" w:cs="仿宋"/>
          <w:highlight w:val="none"/>
          <w:lang w:val="en-US" w:eastAsia="zh-CN"/>
        </w:rPr>
        <w:t>拾贰万贰仟</w:t>
      </w:r>
      <w:r>
        <w:rPr>
          <w:rFonts w:ascii="仿宋" w:hAnsi="仿宋" w:eastAsia="仿宋" w:cs="仿宋"/>
          <w:highlight w:val="none"/>
        </w:rPr>
        <w:t>元整（￥</w:t>
      </w:r>
      <w:r>
        <w:rPr>
          <w:rFonts w:hint="eastAsia" w:ascii="仿宋" w:hAnsi="仿宋" w:eastAsia="仿宋" w:cs="仿宋"/>
          <w:highlight w:val="none"/>
          <w:lang w:val="en-US" w:eastAsia="zh-CN"/>
        </w:rPr>
        <w:t>122</w:t>
      </w:r>
      <w:r>
        <w:rPr>
          <w:rFonts w:hint="eastAsia" w:ascii="仿宋" w:hAnsi="仿宋" w:eastAsia="仿宋" w:cs="仿宋"/>
          <w:highlight w:val="none"/>
          <w:lang w:eastAsia="zh-CN"/>
        </w:rPr>
        <w:t>000</w:t>
      </w:r>
      <w:r>
        <w:rPr>
          <w:rFonts w:hint="eastAsia" w:ascii="仿宋" w:hAnsi="仿宋" w:eastAsia="仿宋" w:cs="仿宋"/>
          <w:highlight w:val="none"/>
          <w:lang w:val="en-US" w:eastAsia="zh-CN"/>
        </w:rPr>
        <w:t>.00</w:t>
      </w:r>
      <w:r>
        <w:rPr>
          <w:rFonts w:ascii="仿宋" w:hAnsi="仿宋" w:eastAsia="仿宋" w:cs="仿宋"/>
          <w:highlight w:val="none"/>
        </w:rPr>
        <w:t>）；</w:t>
      </w:r>
    </w:p>
    <w:p w14:paraId="2E8AB190">
      <w:pPr>
        <w:pStyle w:val="21"/>
        <w:numPr>
          <w:ilvl w:val="0"/>
          <w:numId w:val="1"/>
        </w:numPr>
        <w:ind w:firstLineChars="0"/>
        <w:rPr>
          <w:rFonts w:ascii="仿宋" w:hAnsi="仿宋" w:eastAsia="仿宋" w:cs="仿宋"/>
          <w:highlight w:val="none"/>
        </w:rPr>
      </w:pPr>
      <w:r>
        <w:rPr>
          <w:rFonts w:ascii="仿宋" w:hAnsi="仿宋" w:eastAsia="仿宋" w:cs="仿宋"/>
          <w:highlight w:val="none"/>
        </w:rPr>
        <w:t>服务期限：</w:t>
      </w:r>
      <w:r>
        <w:rPr>
          <w:rFonts w:hint="eastAsia" w:ascii="仿宋" w:hAnsi="仿宋" w:eastAsia="仿宋" w:cs="仿宋"/>
          <w:bCs/>
          <w:sz w:val="24"/>
          <w:lang w:val="en-US" w:eastAsia="zh-CN"/>
        </w:rPr>
        <w:t>自合同签订之日起</w:t>
      </w:r>
      <w:r>
        <w:rPr>
          <w:rFonts w:hint="eastAsia" w:ascii="仿宋" w:hAnsi="仿宋" w:eastAsia="仿宋" w:cs="仿宋"/>
          <w:bCs/>
          <w:sz w:val="24"/>
        </w:rPr>
        <w:t>1年</w:t>
      </w:r>
      <w:r>
        <w:rPr>
          <w:rFonts w:ascii="仿宋" w:hAnsi="仿宋" w:eastAsia="仿宋" w:cs="仿宋"/>
          <w:highlight w:val="none"/>
        </w:rPr>
        <w:t>；</w:t>
      </w:r>
    </w:p>
    <w:p w14:paraId="58601FCB">
      <w:pPr>
        <w:pStyle w:val="21"/>
        <w:numPr>
          <w:ilvl w:val="0"/>
          <w:numId w:val="1"/>
        </w:numPr>
        <w:ind w:firstLineChars="0"/>
        <w:rPr>
          <w:rFonts w:ascii="仿宋" w:hAnsi="仿宋" w:eastAsia="仿宋" w:cs="仿宋"/>
        </w:rPr>
      </w:pPr>
      <w:r>
        <w:rPr>
          <w:rFonts w:ascii="仿宋" w:hAnsi="仿宋" w:eastAsia="仿宋" w:cs="仿宋"/>
        </w:rPr>
        <w:t>采购需求：详见招标文件采购需求部分。</w:t>
      </w:r>
    </w:p>
    <w:p w14:paraId="12C152AE">
      <w:pPr>
        <w:pStyle w:val="20"/>
        <w:rPr>
          <w:rFonts w:ascii="仿宋" w:hAnsi="仿宋" w:eastAsia="仿宋" w:cs="仿宋"/>
        </w:rPr>
      </w:pPr>
      <w:r>
        <w:rPr>
          <w:rFonts w:ascii="仿宋" w:hAnsi="仿宋" w:eastAsia="仿宋" w:cs="仿宋"/>
        </w:rPr>
        <w:t>二、投标人资格要求</w:t>
      </w:r>
    </w:p>
    <w:p w14:paraId="7FB93A96">
      <w:pPr>
        <w:pStyle w:val="21"/>
        <w:ind w:firstLine="420" w:firstLineChars="0"/>
        <w:rPr>
          <w:rFonts w:ascii="仿宋" w:hAnsi="仿宋" w:eastAsia="仿宋" w:cs="仿宋"/>
          <w:b/>
          <w:bCs/>
        </w:rPr>
      </w:pPr>
      <w:r>
        <w:rPr>
          <w:rFonts w:ascii="仿宋" w:hAnsi="仿宋" w:eastAsia="仿宋" w:cs="仿宋"/>
          <w:b/>
          <w:bCs/>
        </w:rPr>
        <w:t>（一）一般资格要求：</w:t>
      </w:r>
    </w:p>
    <w:p w14:paraId="04F62FB3">
      <w:pPr>
        <w:pStyle w:val="21"/>
        <w:numPr>
          <w:ilvl w:val="0"/>
          <w:numId w:val="2"/>
        </w:numPr>
        <w:ind w:firstLineChars="0"/>
        <w:rPr>
          <w:rFonts w:ascii="仿宋" w:hAnsi="仿宋" w:eastAsia="仿宋" w:cs="仿宋"/>
        </w:rPr>
      </w:pPr>
      <w:r>
        <w:rPr>
          <w:rFonts w:ascii="仿宋" w:hAnsi="仿宋" w:eastAsia="仿宋" w:cs="仿宋"/>
        </w:rPr>
        <w:t>具有独立承担民事责任的能力；</w:t>
      </w:r>
    </w:p>
    <w:p w14:paraId="65FDF2D5">
      <w:pPr>
        <w:pStyle w:val="21"/>
        <w:numPr>
          <w:ilvl w:val="0"/>
          <w:numId w:val="2"/>
        </w:numPr>
        <w:ind w:firstLineChars="0"/>
        <w:rPr>
          <w:rFonts w:ascii="仿宋" w:hAnsi="仿宋" w:eastAsia="仿宋" w:cs="仿宋"/>
        </w:rPr>
      </w:pPr>
      <w:r>
        <w:rPr>
          <w:rFonts w:ascii="仿宋" w:hAnsi="仿宋" w:eastAsia="仿宋" w:cs="仿宋"/>
        </w:rPr>
        <w:t>具有良好的商业信誉和健全的财务会计制度；</w:t>
      </w:r>
    </w:p>
    <w:p w14:paraId="02197098">
      <w:pPr>
        <w:pStyle w:val="21"/>
        <w:numPr>
          <w:ilvl w:val="0"/>
          <w:numId w:val="2"/>
        </w:numPr>
        <w:ind w:firstLineChars="0"/>
        <w:rPr>
          <w:rFonts w:ascii="仿宋" w:hAnsi="仿宋" w:eastAsia="仿宋" w:cs="仿宋"/>
        </w:rPr>
      </w:pPr>
      <w:r>
        <w:rPr>
          <w:rFonts w:ascii="仿宋" w:hAnsi="仿宋" w:eastAsia="仿宋" w:cs="仿宋"/>
        </w:rPr>
        <w:t>具有履行合同所必需的设备和专业技术能力；</w:t>
      </w:r>
    </w:p>
    <w:p w14:paraId="20E0E6DB">
      <w:pPr>
        <w:pStyle w:val="21"/>
        <w:numPr>
          <w:ilvl w:val="0"/>
          <w:numId w:val="2"/>
        </w:numPr>
        <w:ind w:firstLineChars="0"/>
        <w:rPr>
          <w:rFonts w:ascii="仿宋" w:hAnsi="仿宋" w:eastAsia="仿宋" w:cs="仿宋"/>
        </w:rPr>
      </w:pPr>
      <w:r>
        <w:rPr>
          <w:rFonts w:ascii="仿宋" w:hAnsi="仿宋" w:eastAsia="仿宋" w:cs="仿宋"/>
        </w:rPr>
        <w:t>有依法缴纳税收和社会保障资金的良好记录；</w:t>
      </w:r>
    </w:p>
    <w:p w14:paraId="758C9EB3">
      <w:pPr>
        <w:pStyle w:val="21"/>
        <w:numPr>
          <w:ilvl w:val="0"/>
          <w:numId w:val="2"/>
        </w:numPr>
        <w:ind w:firstLineChars="0"/>
        <w:rPr>
          <w:rFonts w:ascii="仿宋" w:hAnsi="仿宋" w:eastAsia="仿宋" w:cs="仿宋"/>
        </w:rPr>
      </w:pPr>
      <w:r>
        <w:rPr>
          <w:rFonts w:ascii="仿宋" w:hAnsi="仿宋" w:eastAsia="仿宋" w:cs="仿宋"/>
        </w:rPr>
        <w:t>参加投标活动前三年内，在经营活动中没有重大违法记录。</w:t>
      </w:r>
    </w:p>
    <w:p w14:paraId="61C44497">
      <w:pPr>
        <w:pStyle w:val="21"/>
        <w:ind w:firstLine="420" w:firstLineChars="0"/>
        <w:rPr>
          <w:rFonts w:ascii="仿宋" w:hAnsi="仿宋" w:eastAsia="仿宋" w:cs="仿宋"/>
          <w:b/>
          <w:bCs/>
        </w:rPr>
      </w:pPr>
      <w:r>
        <w:rPr>
          <w:rFonts w:ascii="仿宋" w:hAnsi="仿宋" w:eastAsia="仿宋" w:cs="仿宋"/>
          <w:b/>
          <w:bCs/>
        </w:rPr>
        <w:t>（二）特定资格要求：</w:t>
      </w:r>
    </w:p>
    <w:p w14:paraId="49498244">
      <w:pPr>
        <w:pStyle w:val="21"/>
        <w:ind w:firstLine="420" w:firstLineChars="0"/>
        <w:rPr>
          <w:rFonts w:ascii="仿宋" w:hAnsi="仿宋" w:eastAsia="仿宋" w:cs="仿宋"/>
          <w:b/>
          <w:bCs/>
          <w:highlight w:val="yellow"/>
        </w:rPr>
      </w:pPr>
      <w:r>
        <w:rPr>
          <w:rFonts w:ascii="仿宋" w:hAnsi="仿宋" w:eastAsia="仿宋" w:cs="仿宋"/>
          <w:b/>
          <w:bCs/>
        </w:rPr>
        <w:t>无</w:t>
      </w:r>
    </w:p>
    <w:p w14:paraId="682EF5E1">
      <w:pPr>
        <w:pStyle w:val="21"/>
        <w:ind w:firstLine="420" w:firstLineChars="0"/>
        <w:rPr>
          <w:rFonts w:ascii="仿宋" w:hAnsi="仿宋" w:eastAsia="仿宋" w:cs="仿宋"/>
          <w:b/>
          <w:bCs/>
        </w:rPr>
      </w:pPr>
      <w:r>
        <w:rPr>
          <w:rFonts w:ascii="仿宋" w:hAnsi="仿宋" w:eastAsia="仿宋" w:cs="仿宋"/>
          <w:b/>
          <w:bCs/>
        </w:rPr>
        <w:t>（三）其他说明：</w:t>
      </w:r>
    </w:p>
    <w:p w14:paraId="0CAE382D">
      <w:pPr>
        <w:pStyle w:val="21"/>
        <w:numPr>
          <w:ilvl w:val="0"/>
          <w:numId w:val="3"/>
        </w:numPr>
        <w:ind w:firstLineChars="0"/>
        <w:rPr>
          <w:rFonts w:ascii="仿宋" w:hAnsi="仿宋" w:eastAsia="仿宋" w:cs="仿宋"/>
        </w:rPr>
      </w:pPr>
      <w:r>
        <w:rPr>
          <w:rFonts w:ascii="仿宋" w:hAnsi="仿宋" w:eastAsia="仿宋" w:cs="仿宋"/>
        </w:rPr>
        <w:t>单位负责人为同一人或者存在直接控股、管理关系的不同供应商，不得参加同一合同项目下的政府采购活动；</w:t>
      </w:r>
    </w:p>
    <w:p w14:paraId="76D0938B">
      <w:pPr>
        <w:pStyle w:val="21"/>
        <w:numPr>
          <w:ilvl w:val="0"/>
          <w:numId w:val="3"/>
        </w:numPr>
        <w:ind w:firstLineChars="0"/>
        <w:rPr>
          <w:rFonts w:ascii="仿宋" w:hAnsi="仿宋" w:eastAsia="仿宋" w:cs="仿宋"/>
        </w:rPr>
      </w:pPr>
      <w:r>
        <w:rPr>
          <w:rFonts w:ascii="仿宋" w:hAnsi="仿宋" w:eastAsia="仿宋" w:cs="仿宋"/>
        </w:rPr>
        <w:t>供应商书面承诺符合参与采购活动资格条件的，不需要再提供财务状况报告、依法缴纳税收和社会保障资金记录、无重大违法记录等证明材料；</w:t>
      </w:r>
    </w:p>
    <w:p w14:paraId="7E7FD17D">
      <w:pPr>
        <w:pStyle w:val="21"/>
        <w:numPr>
          <w:ilvl w:val="0"/>
          <w:numId w:val="3"/>
        </w:numPr>
        <w:ind w:firstLineChars="0"/>
        <w:rPr>
          <w:rFonts w:ascii="仿宋" w:hAnsi="仿宋" w:eastAsia="仿宋" w:cs="仿宋"/>
          <w:b/>
          <w:bCs/>
        </w:rPr>
      </w:pPr>
      <w:r>
        <w:rPr>
          <w:rFonts w:ascii="仿宋" w:hAnsi="仿宋" w:eastAsia="仿宋" w:cs="仿宋"/>
          <w:b/>
          <w:bCs/>
        </w:rPr>
        <w:t>本次招标不支持联合体投标或代理投标，不接受分包及备选方案。否则视为无效投标。</w:t>
      </w:r>
    </w:p>
    <w:p w14:paraId="55F1003E">
      <w:pPr>
        <w:pStyle w:val="20"/>
        <w:rPr>
          <w:rFonts w:ascii="仿宋" w:hAnsi="仿宋" w:eastAsia="仿宋" w:cs="仿宋"/>
        </w:rPr>
      </w:pPr>
      <w:r>
        <w:rPr>
          <w:rFonts w:ascii="仿宋" w:hAnsi="仿宋" w:eastAsia="仿宋" w:cs="仿宋"/>
        </w:rPr>
        <w:t>三、投标文件要求</w:t>
      </w:r>
    </w:p>
    <w:p w14:paraId="62AF7767">
      <w:pPr>
        <w:pStyle w:val="21"/>
        <w:ind w:firstLine="420" w:firstLineChars="0"/>
        <w:rPr>
          <w:rFonts w:ascii="仿宋" w:hAnsi="仿宋" w:eastAsia="仿宋" w:cs="仿宋"/>
          <w:b/>
          <w:bCs/>
        </w:rPr>
      </w:pPr>
      <w:r>
        <w:rPr>
          <w:rFonts w:ascii="仿宋" w:hAnsi="仿宋" w:eastAsia="仿宋" w:cs="仿宋"/>
          <w:b/>
          <w:bCs/>
        </w:rPr>
        <w:t>（一）投标文件要求：</w:t>
      </w:r>
    </w:p>
    <w:p w14:paraId="567D4350">
      <w:pPr>
        <w:pStyle w:val="21"/>
        <w:ind w:firstLine="420" w:firstLineChars="0"/>
        <w:rPr>
          <w:rFonts w:ascii="仿宋" w:hAnsi="仿宋" w:eastAsia="仿宋" w:cs="仿宋"/>
        </w:rPr>
      </w:pPr>
      <w:r>
        <w:rPr>
          <w:rFonts w:ascii="仿宋" w:hAnsi="仿宋" w:eastAsia="仿宋" w:cs="仿宋"/>
          <w:b/>
          <w:bCs/>
        </w:rPr>
        <w:t>投标文件由《资格文件》《技术商务文件》和《报价文件》三部分组成，投标人应按《资格文件》《技术商务文件》和《报价文件》正本各1份、副本各1份编制，文件须密封并胶装成册，《报价文件》需单独密封，三部分文件封面及每一页均需加盖供应商公章。所有证件均须真实、有效，原件、复印件均须加盖公章，缺少以上任意一部分内容即作无效标处理。</w:t>
      </w:r>
    </w:p>
    <w:p w14:paraId="008D7BE0">
      <w:pPr>
        <w:pStyle w:val="21"/>
        <w:ind w:firstLine="420" w:firstLineChars="0"/>
        <w:rPr>
          <w:rFonts w:ascii="仿宋" w:hAnsi="仿宋" w:eastAsia="仿宋" w:cs="仿宋"/>
          <w:b/>
          <w:bCs/>
          <w:highlight w:val="none"/>
        </w:rPr>
      </w:pPr>
      <w:r>
        <w:rPr>
          <w:rFonts w:ascii="仿宋" w:hAnsi="仿宋" w:eastAsia="仿宋" w:cs="仿宋"/>
          <w:b/>
          <w:bCs/>
          <w:highlight w:val="none"/>
        </w:rPr>
        <w:t>（二）资格文件：</w:t>
      </w:r>
    </w:p>
    <w:p w14:paraId="677A1CFF">
      <w:pPr>
        <w:pStyle w:val="21"/>
        <w:numPr>
          <w:ilvl w:val="0"/>
          <w:numId w:val="4"/>
        </w:numPr>
        <w:ind w:firstLineChars="0"/>
        <w:rPr>
          <w:rFonts w:ascii="仿宋" w:hAnsi="仿宋" w:eastAsia="仿宋" w:cs="仿宋"/>
        </w:rPr>
      </w:pPr>
      <w:r>
        <w:rPr>
          <w:rFonts w:ascii="仿宋" w:hAnsi="仿宋" w:eastAsia="仿宋" w:cs="仿宋"/>
        </w:rPr>
        <w:t>有效的营业执照复印件，非法人企业需提供其他证明材料（加盖公章）；</w:t>
      </w:r>
    </w:p>
    <w:p w14:paraId="1500ACC7">
      <w:pPr>
        <w:pStyle w:val="21"/>
        <w:numPr>
          <w:ilvl w:val="0"/>
          <w:numId w:val="4"/>
        </w:numPr>
        <w:ind w:firstLineChars="0"/>
        <w:rPr>
          <w:rFonts w:ascii="仿宋" w:hAnsi="仿宋" w:eastAsia="仿宋" w:cs="仿宋"/>
        </w:rPr>
      </w:pPr>
      <w:r>
        <w:rPr>
          <w:rFonts w:ascii="仿宋" w:hAnsi="仿宋" w:eastAsia="仿宋" w:cs="仿宋"/>
        </w:rPr>
        <w:t>提供自采购公告发布之日起至开标截止时间止的“信用中国”网站（www.creditchina.gov.cn）、中国政府采购网（www.ccgp.gov.cn）、“浙江政府采购网”（www.zjzfcg.gov.cn）投标人信用查询网页截图（至少提供2个网站的截图；以开标当日采购人核实的查询结果为准）；</w:t>
      </w:r>
    </w:p>
    <w:p w14:paraId="6C5AD16C">
      <w:pPr>
        <w:pStyle w:val="21"/>
        <w:numPr>
          <w:ilvl w:val="0"/>
          <w:numId w:val="4"/>
        </w:numPr>
        <w:ind w:firstLineChars="0"/>
        <w:rPr>
          <w:rFonts w:ascii="仿宋" w:hAnsi="仿宋" w:eastAsia="仿宋" w:cs="仿宋"/>
        </w:rPr>
      </w:pPr>
      <w:r>
        <w:rPr>
          <w:rFonts w:ascii="仿宋" w:hAnsi="仿宋" w:eastAsia="仿宋" w:cs="仿宋"/>
        </w:rPr>
        <w:t>法定代表人身份证复印件（加盖公章）；如非法定代表人参与开标，需额外提供法定代表人授权委托书原件（加盖公章）、授权委托人身份证复印件（加盖公章）；</w:t>
      </w:r>
    </w:p>
    <w:p w14:paraId="21DB5201">
      <w:pPr>
        <w:pStyle w:val="21"/>
        <w:numPr>
          <w:ilvl w:val="0"/>
          <w:numId w:val="4"/>
        </w:numPr>
        <w:ind w:firstLineChars="0"/>
        <w:rPr>
          <w:rFonts w:ascii="仿宋" w:hAnsi="仿宋" w:eastAsia="仿宋" w:cs="仿宋"/>
        </w:rPr>
      </w:pPr>
      <w:r>
        <w:rPr>
          <w:rFonts w:ascii="仿宋" w:hAnsi="仿宋" w:eastAsia="仿宋" w:cs="仿宋"/>
        </w:rPr>
        <w:t>最近三个月内任意一个月的依法缴纳</w:t>
      </w:r>
      <w:r>
        <w:rPr>
          <w:rFonts w:ascii="仿宋" w:hAnsi="仿宋" w:eastAsia="仿宋" w:cs="仿宋"/>
          <w:b/>
          <w:bCs/>
        </w:rPr>
        <w:t>税收</w:t>
      </w:r>
      <w:r>
        <w:rPr>
          <w:rFonts w:ascii="仿宋" w:hAnsi="仿宋" w:eastAsia="仿宋" w:cs="仿宋"/>
        </w:rPr>
        <w:t>和</w:t>
      </w:r>
      <w:r>
        <w:rPr>
          <w:rFonts w:ascii="仿宋" w:hAnsi="仿宋" w:eastAsia="仿宋" w:cs="仿宋"/>
          <w:b/>
          <w:bCs/>
        </w:rPr>
        <w:t>社保证明</w:t>
      </w:r>
      <w:r>
        <w:rPr>
          <w:rFonts w:ascii="仿宋" w:hAnsi="仿宋" w:eastAsia="仿宋" w:cs="仿宋"/>
        </w:rPr>
        <w:t>（税费凭证复印件，或者依法缴纳税费或依法免缴税费的证明）；</w:t>
      </w:r>
    </w:p>
    <w:p w14:paraId="61992C8B">
      <w:pPr>
        <w:pStyle w:val="21"/>
        <w:numPr>
          <w:ilvl w:val="0"/>
          <w:numId w:val="4"/>
        </w:numPr>
        <w:ind w:firstLineChars="0"/>
        <w:rPr>
          <w:rFonts w:ascii="仿宋" w:hAnsi="仿宋" w:eastAsia="仿宋" w:cs="仿宋"/>
        </w:rPr>
      </w:pPr>
      <w:r>
        <w:rPr>
          <w:rFonts w:ascii="仿宋" w:hAnsi="仿宋" w:eastAsia="仿宋" w:cs="仿宋"/>
        </w:rPr>
        <w:t>投标声明书；</w:t>
      </w:r>
    </w:p>
    <w:p w14:paraId="196DC37E">
      <w:pPr>
        <w:pStyle w:val="21"/>
        <w:ind w:firstLine="420" w:firstLineChars="0"/>
        <w:rPr>
          <w:rFonts w:ascii="仿宋" w:hAnsi="仿宋" w:eastAsia="仿宋" w:cs="仿宋"/>
          <w:b/>
          <w:bCs/>
        </w:rPr>
      </w:pPr>
      <w:r>
        <w:rPr>
          <w:rFonts w:ascii="仿宋" w:hAnsi="仿宋" w:eastAsia="仿宋" w:cs="仿宋"/>
          <w:b/>
          <w:bCs/>
        </w:rPr>
        <w:t>（三）技术商务文件：</w:t>
      </w:r>
    </w:p>
    <w:p w14:paraId="16A21D30">
      <w:pPr>
        <w:pStyle w:val="21"/>
        <w:numPr>
          <w:ilvl w:val="0"/>
          <w:numId w:val="5"/>
        </w:numPr>
        <w:ind w:left="845" w:leftChars="0" w:hanging="425" w:firstLineChars="0"/>
        <w:rPr>
          <w:rFonts w:hint="eastAsia" w:ascii="仿宋" w:hAnsi="仿宋" w:eastAsia="仿宋" w:cs="仿宋"/>
        </w:rPr>
      </w:pPr>
      <w:r>
        <w:rPr>
          <w:rFonts w:hint="eastAsia" w:ascii="仿宋" w:hAnsi="仿宋" w:eastAsia="仿宋" w:cs="仿宋"/>
        </w:rPr>
        <w:t>评分索引表；</w:t>
      </w:r>
    </w:p>
    <w:p w14:paraId="407237E1">
      <w:pPr>
        <w:pStyle w:val="21"/>
        <w:numPr>
          <w:ilvl w:val="0"/>
          <w:numId w:val="5"/>
        </w:numPr>
        <w:ind w:left="845" w:leftChars="0" w:hanging="425" w:firstLineChars="0"/>
        <w:rPr>
          <w:rFonts w:hint="eastAsia" w:ascii="仿宋" w:hAnsi="仿宋" w:eastAsia="仿宋" w:cs="仿宋"/>
        </w:rPr>
      </w:pPr>
      <w:r>
        <w:rPr>
          <w:rFonts w:hint="eastAsia" w:ascii="仿宋" w:hAnsi="仿宋" w:eastAsia="仿宋" w:cs="仿宋"/>
        </w:rPr>
        <w:t>商务响应表；</w:t>
      </w:r>
    </w:p>
    <w:p w14:paraId="1A1D3601">
      <w:pPr>
        <w:pStyle w:val="21"/>
        <w:numPr>
          <w:ilvl w:val="0"/>
          <w:numId w:val="5"/>
        </w:numPr>
        <w:ind w:left="845" w:leftChars="0" w:hanging="425" w:firstLineChars="0"/>
        <w:rPr>
          <w:rFonts w:hint="eastAsia" w:ascii="仿宋" w:hAnsi="仿宋" w:eastAsia="仿宋" w:cs="仿宋"/>
        </w:rPr>
      </w:pPr>
      <w:r>
        <w:rPr>
          <w:rFonts w:hint="eastAsia" w:ascii="仿宋" w:hAnsi="仿宋" w:eastAsia="仿宋" w:cs="仿宋"/>
        </w:rPr>
        <w:t>技术响应表；</w:t>
      </w:r>
    </w:p>
    <w:p w14:paraId="3244539F">
      <w:pPr>
        <w:pStyle w:val="21"/>
        <w:numPr>
          <w:ilvl w:val="0"/>
          <w:numId w:val="5"/>
        </w:numPr>
        <w:ind w:left="845" w:leftChars="0" w:hanging="425" w:firstLineChars="0"/>
        <w:rPr>
          <w:rFonts w:hint="eastAsia" w:ascii="仿宋" w:hAnsi="仿宋" w:eastAsia="仿宋" w:cs="仿宋"/>
        </w:rPr>
      </w:pPr>
      <w:r>
        <w:rPr>
          <w:rFonts w:hint="eastAsia" w:ascii="仿宋" w:hAnsi="仿宋" w:eastAsia="仿宋" w:cs="仿宋"/>
        </w:rPr>
        <w:t>项目理解分析；</w:t>
      </w:r>
    </w:p>
    <w:p w14:paraId="26635DB5">
      <w:pPr>
        <w:pStyle w:val="21"/>
        <w:numPr>
          <w:ilvl w:val="0"/>
          <w:numId w:val="5"/>
        </w:numPr>
        <w:ind w:left="845" w:leftChars="0" w:hanging="425" w:firstLineChars="0"/>
        <w:rPr>
          <w:rFonts w:hint="eastAsia" w:ascii="仿宋" w:hAnsi="仿宋" w:eastAsia="仿宋" w:cs="仿宋"/>
        </w:rPr>
      </w:pPr>
      <w:r>
        <w:rPr>
          <w:rFonts w:hint="eastAsia" w:ascii="仿宋" w:hAnsi="仿宋" w:eastAsia="仿宋" w:cs="仿宋"/>
        </w:rPr>
        <w:t>项目实施方案；</w:t>
      </w:r>
    </w:p>
    <w:p w14:paraId="48C01213">
      <w:pPr>
        <w:pStyle w:val="21"/>
        <w:numPr>
          <w:ilvl w:val="0"/>
          <w:numId w:val="5"/>
        </w:numPr>
        <w:ind w:left="845" w:leftChars="0" w:hanging="425" w:firstLineChars="0"/>
        <w:rPr>
          <w:rFonts w:hint="eastAsia" w:ascii="仿宋" w:hAnsi="仿宋" w:eastAsia="仿宋" w:cs="仿宋"/>
        </w:rPr>
      </w:pPr>
      <w:r>
        <w:rPr>
          <w:rFonts w:hint="eastAsia" w:ascii="仿宋" w:hAnsi="仿宋" w:eastAsia="仿宋" w:cs="仿宋"/>
        </w:rPr>
        <w:t>人员配备；</w:t>
      </w:r>
    </w:p>
    <w:p w14:paraId="6FE4E5A1">
      <w:pPr>
        <w:pStyle w:val="21"/>
        <w:numPr>
          <w:ilvl w:val="0"/>
          <w:numId w:val="5"/>
        </w:numPr>
        <w:ind w:left="845" w:leftChars="0" w:hanging="425" w:firstLineChars="0"/>
        <w:rPr>
          <w:rFonts w:hint="eastAsia" w:ascii="仿宋" w:hAnsi="仿宋" w:eastAsia="仿宋" w:cs="仿宋"/>
        </w:rPr>
      </w:pPr>
      <w:r>
        <w:rPr>
          <w:rFonts w:hint="eastAsia" w:ascii="仿宋" w:hAnsi="仿宋" w:eastAsia="仿宋" w:cs="仿宋"/>
        </w:rPr>
        <w:t>培训计划；</w:t>
      </w:r>
    </w:p>
    <w:p w14:paraId="7AD0B48A">
      <w:pPr>
        <w:pStyle w:val="21"/>
        <w:numPr>
          <w:ilvl w:val="0"/>
          <w:numId w:val="5"/>
        </w:numPr>
        <w:ind w:left="845" w:leftChars="0" w:hanging="425" w:firstLineChars="0"/>
        <w:rPr>
          <w:rFonts w:hint="eastAsia" w:ascii="仿宋" w:hAnsi="仿宋" w:eastAsia="仿宋" w:cs="仿宋"/>
        </w:rPr>
      </w:pPr>
      <w:r>
        <w:rPr>
          <w:rFonts w:hint="eastAsia" w:ascii="仿宋" w:hAnsi="仿宋" w:eastAsia="仿宋" w:cs="仿宋"/>
        </w:rPr>
        <w:t>资源利用；</w:t>
      </w:r>
    </w:p>
    <w:p w14:paraId="50A9DDDF">
      <w:pPr>
        <w:pStyle w:val="21"/>
        <w:numPr>
          <w:ilvl w:val="0"/>
          <w:numId w:val="5"/>
        </w:numPr>
        <w:ind w:left="845" w:leftChars="0" w:hanging="425" w:firstLineChars="0"/>
        <w:rPr>
          <w:rFonts w:hint="eastAsia" w:ascii="仿宋" w:hAnsi="仿宋" w:eastAsia="仿宋" w:cs="仿宋"/>
        </w:rPr>
      </w:pPr>
      <w:r>
        <w:rPr>
          <w:rFonts w:hint="eastAsia" w:ascii="仿宋" w:hAnsi="仿宋" w:eastAsia="仿宋" w:cs="仿宋"/>
        </w:rPr>
        <w:t>售后服务；</w:t>
      </w:r>
    </w:p>
    <w:p w14:paraId="198C3EEE">
      <w:pPr>
        <w:pStyle w:val="21"/>
        <w:numPr>
          <w:ilvl w:val="0"/>
          <w:numId w:val="5"/>
        </w:numPr>
        <w:ind w:left="845" w:leftChars="0" w:hanging="425" w:firstLineChars="0"/>
        <w:rPr>
          <w:rFonts w:hint="eastAsia" w:ascii="仿宋" w:hAnsi="仿宋" w:eastAsia="仿宋" w:cs="仿宋"/>
        </w:rPr>
      </w:pPr>
      <w:r>
        <w:rPr>
          <w:rFonts w:hint="eastAsia" w:ascii="仿宋" w:hAnsi="仿宋" w:eastAsia="仿宋" w:cs="仿宋"/>
        </w:rPr>
        <w:t>企业实力；</w:t>
      </w:r>
    </w:p>
    <w:p w14:paraId="57D9E63B">
      <w:pPr>
        <w:pStyle w:val="21"/>
        <w:numPr>
          <w:ilvl w:val="0"/>
          <w:numId w:val="5"/>
        </w:numPr>
        <w:ind w:left="845" w:leftChars="0" w:hanging="425" w:firstLineChars="0"/>
        <w:rPr>
          <w:rFonts w:hint="eastAsia" w:ascii="仿宋" w:hAnsi="仿宋" w:eastAsia="仿宋" w:cs="仿宋"/>
        </w:rPr>
      </w:pPr>
      <w:r>
        <w:rPr>
          <w:rFonts w:hint="eastAsia" w:ascii="仿宋" w:hAnsi="仿宋" w:eastAsia="仿宋" w:cs="仿宋"/>
        </w:rPr>
        <w:t>企业业绩；</w:t>
      </w:r>
    </w:p>
    <w:p w14:paraId="39E22C84">
      <w:pPr>
        <w:pStyle w:val="21"/>
        <w:numPr>
          <w:ilvl w:val="0"/>
          <w:numId w:val="5"/>
        </w:numPr>
        <w:ind w:left="845" w:leftChars="0" w:hanging="425" w:firstLineChars="0"/>
        <w:rPr>
          <w:rFonts w:hint="eastAsia" w:ascii="仿宋" w:hAnsi="仿宋" w:eastAsia="仿宋" w:cs="仿宋"/>
        </w:rPr>
      </w:pPr>
      <w:r>
        <w:rPr>
          <w:rFonts w:hint="eastAsia" w:ascii="仿宋" w:hAnsi="仿宋" w:eastAsia="仿宋" w:cs="仿宋"/>
        </w:rPr>
        <w:t>其他供应商认为有必要提供的材料。</w:t>
      </w:r>
    </w:p>
    <w:p w14:paraId="046AC763">
      <w:pPr>
        <w:pStyle w:val="21"/>
        <w:ind w:firstLine="420" w:firstLineChars="0"/>
        <w:rPr>
          <w:rFonts w:ascii="仿宋" w:hAnsi="仿宋" w:eastAsia="仿宋" w:cs="仿宋"/>
          <w:b/>
          <w:bCs/>
        </w:rPr>
      </w:pPr>
      <w:r>
        <w:rPr>
          <w:rFonts w:ascii="仿宋" w:hAnsi="仿宋" w:eastAsia="仿宋" w:cs="仿宋"/>
          <w:b/>
          <w:bCs/>
        </w:rPr>
        <w:t>（四）报价文件：</w:t>
      </w:r>
    </w:p>
    <w:p w14:paraId="700130A5">
      <w:pPr>
        <w:pStyle w:val="21"/>
        <w:numPr>
          <w:ilvl w:val="0"/>
          <w:numId w:val="6"/>
        </w:numPr>
        <w:ind w:firstLineChars="0"/>
        <w:rPr>
          <w:rFonts w:ascii="仿宋" w:hAnsi="仿宋" w:eastAsia="仿宋" w:cs="仿宋"/>
        </w:rPr>
      </w:pPr>
      <w:r>
        <w:rPr>
          <w:rFonts w:ascii="仿宋" w:hAnsi="仿宋" w:eastAsia="仿宋" w:cs="仿宋"/>
        </w:rPr>
        <w:t>投标响应函；</w:t>
      </w:r>
    </w:p>
    <w:p w14:paraId="02E58A23">
      <w:pPr>
        <w:pStyle w:val="21"/>
        <w:numPr>
          <w:ilvl w:val="0"/>
          <w:numId w:val="6"/>
        </w:numPr>
        <w:ind w:firstLineChars="0"/>
        <w:rPr>
          <w:rFonts w:hint="default" w:ascii="仿宋" w:hAnsi="仿宋" w:eastAsia="仿宋" w:cs="仿宋"/>
        </w:rPr>
      </w:pPr>
      <w:r>
        <w:rPr>
          <w:rFonts w:ascii="仿宋" w:hAnsi="仿宋" w:eastAsia="仿宋" w:cs="仿宋"/>
        </w:rPr>
        <w:t>报价一览表(含人工费、服务费、保险费、管理费、辅材费、食宿费、交通费、税费、撤场费等完成本项目的全部费用。</w:t>
      </w:r>
      <w:r>
        <w:rPr>
          <w:rFonts w:ascii="仿宋" w:hAnsi="仿宋" w:eastAsia="仿宋" w:cs="仿宋"/>
          <w:b/>
          <w:bCs/>
        </w:rPr>
        <w:t>投标报价需提供单价与总价金额</w:t>
      </w:r>
      <w:r>
        <w:rPr>
          <w:rFonts w:ascii="仿宋" w:hAnsi="仿宋" w:eastAsia="仿宋" w:cs="仿宋"/>
        </w:rPr>
        <w:t>，总价金额与按单价汇总金额不一致的，以单价金额计算结果为准。高于采购预算视为无效报价。报价以人民币计，并以大写为准)。</w:t>
      </w:r>
    </w:p>
    <w:p w14:paraId="71127530">
      <w:pPr>
        <w:pStyle w:val="21"/>
        <w:numPr>
          <w:ilvl w:val="0"/>
          <w:numId w:val="6"/>
        </w:numPr>
        <w:ind w:firstLineChars="0"/>
        <w:rPr>
          <w:rFonts w:hint="default" w:ascii="仿宋" w:hAnsi="仿宋" w:eastAsia="仿宋" w:cs="仿宋"/>
        </w:rPr>
      </w:pPr>
      <w:r>
        <w:rPr>
          <w:rFonts w:hint="default" w:ascii="仿宋" w:hAnsi="仿宋" w:eastAsia="仿宋" w:cs="仿宋"/>
        </w:rPr>
        <w:t>其他供应商认为有必要提供的材料</w:t>
      </w:r>
      <w:r>
        <w:rPr>
          <w:rFonts w:hint="eastAsia" w:ascii="仿宋" w:hAnsi="仿宋" w:eastAsia="仿宋" w:cs="仿宋"/>
          <w:lang w:eastAsia="zh-CN"/>
        </w:rPr>
        <w:t>。</w:t>
      </w:r>
    </w:p>
    <w:p w14:paraId="00384543">
      <w:pPr>
        <w:pStyle w:val="21"/>
        <w:ind w:firstLine="0" w:firstLineChars="0"/>
        <w:rPr>
          <w:rFonts w:ascii="仿宋" w:hAnsi="仿宋" w:eastAsia="仿宋" w:cs="仿宋"/>
          <w:b/>
          <w:bCs/>
        </w:rPr>
      </w:pPr>
      <w:r>
        <w:rPr>
          <w:rFonts w:ascii="仿宋" w:hAnsi="仿宋" w:eastAsia="仿宋" w:cs="仿宋"/>
          <w:b/>
          <w:bCs/>
        </w:rPr>
        <w:tab/>
      </w:r>
      <w:r>
        <w:rPr>
          <w:rFonts w:ascii="仿宋" w:hAnsi="仿宋" w:eastAsia="仿宋" w:cs="仿宋"/>
          <w:b/>
          <w:bCs/>
        </w:rPr>
        <w:t>注：高于采购预算视为无效报价。报价以人民币计，并以大写为准。报价应由法定代表人或其授权代表签字确认并加盖公章。</w:t>
      </w:r>
    </w:p>
    <w:p w14:paraId="54AB2524">
      <w:pPr>
        <w:pStyle w:val="21"/>
        <w:ind w:firstLine="420" w:firstLineChars="0"/>
        <w:rPr>
          <w:rFonts w:ascii="仿宋" w:hAnsi="仿宋" w:eastAsia="仿宋" w:cs="仿宋"/>
        </w:rPr>
      </w:pPr>
      <w:r>
        <w:rPr>
          <w:rFonts w:ascii="仿宋" w:hAnsi="仿宋" w:eastAsia="仿宋" w:cs="仿宋"/>
        </w:rPr>
        <w:t>以上材料模板见附件。</w:t>
      </w:r>
    </w:p>
    <w:p w14:paraId="08D7863B">
      <w:pPr>
        <w:pStyle w:val="20"/>
        <w:rPr>
          <w:rFonts w:ascii="仿宋" w:hAnsi="仿宋" w:eastAsia="仿宋" w:cs="仿宋"/>
        </w:rPr>
      </w:pPr>
      <w:r>
        <w:rPr>
          <w:rFonts w:ascii="仿宋" w:hAnsi="仿宋" w:eastAsia="仿宋" w:cs="仿宋"/>
        </w:rPr>
        <w:t>四、投标文件递交、开标时间</w:t>
      </w:r>
    </w:p>
    <w:p w14:paraId="51448350">
      <w:pPr>
        <w:pStyle w:val="21"/>
        <w:ind w:firstLine="420" w:firstLineChars="0"/>
        <w:rPr>
          <w:rFonts w:ascii="仿宋" w:hAnsi="仿宋" w:eastAsia="仿宋" w:cs="仿宋"/>
          <w:highlight w:val="none"/>
        </w:rPr>
      </w:pPr>
      <w:r>
        <w:rPr>
          <w:rFonts w:ascii="仿宋" w:hAnsi="仿宋" w:eastAsia="仿宋" w:cs="仿宋"/>
        </w:rPr>
        <w:t>（一）投标文件投递截止时间：</w:t>
      </w:r>
      <w:r>
        <w:rPr>
          <w:rFonts w:ascii="仿宋" w:hAnsi="仿宋" w:eastAsia="仿宋" w:cs="仿宋"/>
          <w:highlight w:val="yellow"/>
        </w:rPr>
        <w:t>2025年</w:t>
      </w:r>
      <w:r>
        <w:rPr>
          <w:rFonts w:hint="eastAsia" w:ascii="仿宋" w:hAnsi="仿宋" w:eastAsia="仿宋" w:cs="仿宋"/>
          <w:highlight w:val="yellow"/>
          <w:lang w:val="en-US" w:eastAsia="zh-CN"/>
        </w:rPr>
        <w:t>11</w:t>
      </w:r>
      <w:r>
        <w:rPr>
          <w:rFonts w:ascii="仿宋" w:hAnsi="仿宋" w:eastAsia="仿宋" w:cs="仿宋"/>
          <w:highlight w:val="yellow"/>
        </w:rPr>
        <w:t>月</w:t>
      </w:r>
      <w:r>
        <w:rPr>
          <w:rFonts w:hint="eastAsia" w:ascii="仿宋" w:hAnsi="仿宋" w:eastAsia="仿宋" w:cs="仿宋"/>
          <w:highlight w:val="yellow"/>
          <w:lang w:val="en-US" w:eastAsia="zh-CN"/>
        </w:rPr>
        <w:t>7</w:t>
      </w:r>
      <w:r>
        <w:rPr>
          <w:rFonts w:ascii="仿宋" w:hAnsi="仿宋" w:eastAsia="仿宋" w:cs="仿宋"/>
          <w:highlight w:val="yellow"/>
        </w:rPr>
        <w:t>日</w:t>
      </w:r>
      <w:r>
        <w:rPr>
          <w:rFonts w:hint="eastAsia" w:ascii="仿宋" w:hAnsi="仿宋" w:eastAsia="仿宋" w:cs="仿宋"/>
          <w:highlight w:val="yellow"/>
          <w:lang w:val="en-US" w:eastAsia="zh-CN"/>
        </w:rPr>
        <w:t>下</w:t>
      </w:r>
      <w:r>
        <w:rPr>
          <w:rFonts w:ascii="仿宋" w:hAnsi="仿宋" w:eastAsia="仿宋" w:cs="仿宋"/>
          <w:highlight w:val="yellow"/>
        </w:rPr>
        <w:t>午</w:t>
      </w:r>
      <w:r>
        <w:rPr>
          <w:rFonts w:hint="eastAsia" w:ascii="仿宋" w:hAnsi="仿宋" w:eastAsia="仿宋" w:cs="仿宋"/>
          <w:highlight w:val="yellow"/>
          <w:lang w:val="en-US" w:eastAsia="zh-CN"/>
        </w:rPr>
        <w:t>14:00</w:t>
      </w:r>
      <w:r>
        <w:rPr>
          <w:rFonts w:ascii="仿宋" w:hAnsi="仿宋" w:eastAsia="仿宋" w:cs="仿宋"/>
          <w:highlight w:val="none"/>
        </w:rPr>
        <w:t>（投标人迟到视为自动弃标）；</w:t>
      </w:r>
    </w:p>
    <w:p w14:paraId="57FBFAA7">
      <w:pPr>
        <w:pStyle w:val="21"/>
        <w:ind w:firstLine="420" w:firstLineChars="0"/>
        <w:rPr>
          <w:rFonts w:ascii="仿宋" w:hAnsi="仿宋" w:eastAsia="仿宋" w:cs="仿宋"/>
        </w:rPr>
      </w:pPr>
      <w:r>
        <w:rPr>
          <w:rFonts w:ascii="仿宋" w:hAnsi="仿宋" w:eastAsia="仿宋" w:cs="仿宋"/>
          <w:highlight w:val="none"/>
        </w:rPr>
        <w:t>（二）开标时间：</w:t>
      </w:r>
      <w:r>
        <w:rPr>
          <w:rFonts w:ascii="仿宋" w:hAnsi="仿宋" w:eastAsia="仿宋" w:cs="仿宋"/>
          <w:highlight w:val="yellow"/>
        </w:rPr>
        <w:t>2025年</w:t>
      </w:r>
      <w:r>
        <w:rPr>
          <w:rFonts w:hint="eastAsia" w:ascii="仿宋" w:hAnsi="仿宋" w:eastAsia="仿宋" w:cs="仿宋"/>
          <w:highlight w:val="yellow"/>
          <w:lang w:val="en-US" w:eastAsia="zh-CN"/>
        </w:rPr>
        <w:t>11</w:t>
      </w:r>
      <w:r>
        <w:rPr>
          <w:rFonts w:ascii="仿宋" w:hAnsi="仿宋" w:eastAsia="仿宋" w:cs="仿宋"/>
          <w:highlight w:val="yellow"/>
        </w:rPr>
        <w:t>月</w:t>
      </w:r>
      <w:r>
        <w:rPr>
          <w:rFonts w:hint="eastAsia" w:ascii="仿宋" w:hAnsi="仿宋" w:eastAsia="仿宋" w:cs="仿宋"/>
          <w:highlight w:val="yellow"/>
          <w:lang w:val="en-US" w:eastAsia="zh-CN"/>
        </w:rPr>
        <w:t>7</w:t>
      </w:r>
      <w:r>
        <w:rPr>
          <w:rFonts w:ascii="仿宋" w:hAnsi="仿宋" w:eastAsia="仿宋" w:cs="仿宋"/>
          <w:highlight w:val="yellow"/>
        </w:rPr>
        <w:t>日</w:t>
      </w:r>
      <w:r>
        <w:rPr>
          <w:rFonts w:hint="eastAsia" w:ascii="仿宋" w:hAnsi="仿宋" w:eastAsia="仿宋" w:cs="仿宋"/>
          <w:highlight w:val="yellow"/>
          <w:lang w:val="en-US" w:eastAsia="zh-CN"/>
        </w:rPr>
        <w:t>下</w:t>
      </w:r>
      <w:r>
        <w:rPr>
          <w:rFonts w:ascii="仿宋" w:hAnsi="仿宋" w:eastAsia="仿宋" w:cs="仿宋"/>
          <w:highlight w:val="yellow"/>
        </w:rPr>
        <w:t>午</w:t>
      </w:r>
      <w:r>
        <w:rPr>
          <w:rFonts w:hint="eastAsia" w:ascii="仿宋" w:hAnsi="仿宋" w:eastAsia="仿宋" w:cs="仿宋"/>
          <w:highlight w:val="yellow"/>
          <w:lang w:val="en-US" w:eastAsia="zh-CN"/>
        </w:rPr>
        <w:t>14:00</w:t>
      </w:r>
      <w:r>
        <w:rPr>
          <w:rFonts w:ascii="仿宋" w:hAnsi="仿宋" w:eastAsia="仿宋" w:cs="仿宋"/>
        </w:rPr>
        <w:t>；</w:t>
      </w:r>
    </w:p>
    <w:p w14:paraId="115D992C">
      <w:pPr>
        <w:pStyle w:val="21"/>
        <w:ind w:firstLine="420" w:firstLineChars="0"/>
        <w:rPr>
          <w:rFonts w:ascii="仿宋" w:hAnsi="仿宋" w:eastAsia="仿宋" w:cs="仿宋"/>
        </w:rPr>
      </w:pPr>
      <w:r>
        <w:rPr>
          <w:rFonts w:ascii="仿宋" w:hAnsi="仿宋" w:eastAsia="仿宋" w:cs="仿宋"/>
        </w:rPr>
        <w:t>（三）投标文件投递或邮寄地址：湖州市吴兴区创业大道3333号22D后勤楼309（接收人：王老师，联系方式：</w:t>
      </w:r>
      <w:r>
        <w:rPr>
          <w:rFonts w:hint="eastAsia" w:ascii="仿宋" w:hAnsi="仿宋" w:eastAsia="仿宋" w:cs="仿宋"/>
          <w:lang w:val="en-US" w:eastAsia="zh-CN"/>
        </w:rPr>
        <w:t>0572-2112239</w:t>
      </w:r>
      <w:r>
        <w:rPr>
          <w:rFonts w:ascii="仿宋" w:hAnsi="仿宋" w:eastAsia="仿宋" w:cs="仿宋"/>
        </w:rPr>
        <w:t>）；</w:t>
      </w:r>
    </w:p>
    <w:p w14:paraId="5AFD25E8">
      <w:pPr>
        <w:pStyle w:val="21"/>
        <w:ind w:firstLine="420" w:firstLineChars="0"/>
        <w:rPr>
          <w:rFonts w:ascii="仿宋" w:hAnsi="仿宋" w:eastAsia="仿宋" w:cs="仿宋"/>
        </w:rPr>
      </w:pPr>
      <w:r>
        <w:rPr>
          <w:rFonts w:ascii="仿宋" w:hAnsi="仿宋" w:eastAsia="仿宋" w:cs="仿宋"/>
        </w:rPr>
        <w:t>（四）开标地点：湖州市吴兴区创业大道3333号22D后勤楼3</w:t>
      </w:r>
      <w:r>
        <w:rPr>
          <w:rFonts w:hint="eastAsia" w:ascii="仿宋" w:hAnsi="仿宋" w:eastAsia="仿宋" w:cs="仿宋"/>
          <w:lang w:val="en-US" w:eastAsia="zh-CN"/>
        </w:rPr>
        <w:t>06</w:t>
      </w:r>
      <w:r>
        <w:rPr>
          <w:rFonts w:ascii="仿宋" w:hAnsi="仿宋" w:eastAsia="仿宋" w:cs="仿宋"/>
        </w:rPr>
        <w:t>开标室。</w:t>
      </w:r>
    </w:p>
    <w:p w14:paraId="3AA2F988">
      <w:pPr>
        <w:pStyle w:val="21"/>
        <w:ind w:firstLine="420" w:firstLineChars="0"/>
        <w:rPr>
          <w:rFonts w:ascii="仿宋" w:hAnsi="仿宋" w:eastAsia="仿宋" w:cs="仿宋"/>
        </w:rPr>
      </w:pPr>
      <w:r>
        <w:rPr>
          <w:rFonts w:ascii="仿宋" w:hAnsi="仿宋" w:eastAsia="仿宋" w:cs="仿宋"/>
        </w:rPr>
        <w:t>注：供应商未现场参与开标，设同默认开标结果。供应商应确保投标文件在邮寄过程密封包装完好，因邮寄过程造成损坏而不符合开标要求的，湖州学院采购事务中心概不负责。</w:t>
      </w:r>
    </w:p>
    <w:p w14:paraId="4A04CE5C">
      <w:pPr>
        <w:pStyle w:val="20"/>
        <w:rPr>
          <w:rFonts w:ascii="仿宋" w:hAnsi="仿宋" w:eastAsia="仿宋" w:cs="仿宋"/>
        </w:rPr>
      </w:pPr>
      <w:r>
        <w:rPr>
          <w:rFonts w:ascii="仿宋" w:hAnsi="仿宋" w:eastAsia="仿宋" w:cs="仿宋"/>
        </w:rPr>
        <w:t>五、中标办法</w:t>
      </w:r>
    </w:p>
    <w:p w14:paraId="4CBFA36D">
      <w:pPr>
        <w:pStyle w:val="21"/>
        <w:ind w:firstLine="420" w:firstLineChars="0"/>
        <w:rPr>
          <w:rFonts w:ascii="仿宋" w:hAnsi="仿宋" w:eastAsia="仿宋" w:cs="仿宋"/>
        </w:rPr>
      </w:pPr>
      <w:r>
        <w:rPr>
          <w:rFonts w:ascii="仿宋" w:hAnsi="仿宋" w:eastAsia="仿宋" w:cs="仿宋"/>
        </w:rPr>
        <w:t>本项目采</w:t>
      </w:r>
      <w:r>
        <w:rPr>
          <w:rFonts w:hint="eastAsia" w:ascii="仿宋" w:hAnsi="仿宋" w:eastAsia="仿宋" w:cs="仿宋"/>
          <w:lang w:val="en-US" w:eastAsia="zh-CN"/>
        </w:rPr>
        <w:t>用</w:t>
      </w:r>
      <w:r>
        <w:rPr>
          <w:rFonts w:ascii="仿宋" w:hAnsi="仿宋" w:eastAsia="仿宋" w:cs="仿宋"/>
          <w:b/>
          <w:bCs/>
        </w:rPr>
        <w:t>综合评标法</w:t>
      </w:r>
      <w:r>
        <w:rPr>
          <w:rFonts w:ascii="仿宋" w:hAnsi="仿宋" w:eastAsia="仿宋" w:cs="仿宋"/>
        </w:rPr>
        <w:t>，得分最高供应商为中标人；</w:t>
      </w:r>
    </w:p>
    <w:p w14:paraId="33442C9C">
      <w:pPr>
        <w:pStyle w:val="21"/>
        <w:ind w:firstLine="420" w:firstLineChars="0"/>
        <w:rPr>
          <w:rFonts w:ascii="仿宋" w:hAnsi="仿宋" w:eastAsia="仿宋" w:cs="仿宋"/>
        </w:rPr>
      </w:pPr>
      <w:r>
        <w:rPr>
          <w:rFonts w:ascii="仿宋" w:hAnsi="仿宋" w:eastAsia="仿宋" w:cs="仿宋"/>
        </w:rPr>
        <w:t>注：如出现中标人拒签合同，招标人将根据实际情况，采用“按序递补”或“重新招标”的方式重新确定中标人。</w:t>
      </w:r>
    </w:p>
    <w:p w14:paraId="19D2943B">
      <w:pPr>
        <w:pStyle w:val="20"/>
        <w:rPr>
          <w:rFonts w:ascii="仿宋" w:hAnsi="仿宋" w:eastAsia="仿宋" w:cs="仿宋"/>
        </w:rPr>
      </w:pPr>
      <w:r>
        <w:rPr>
          <w:rFonts w:ascii="仿宋" w:hAnsi="仿宋" w:eastAsia="仿宋" w:cs="仿宋"/>
        </w:rPr>
        <w:t>六、付款方式：</w:t>
      </w:r>
    </w:p>
    <w:p w14:paraId="5F4C5C4C">
      <w:pPr>
        <w:pStyle w:val="21"/>
        <w:ind w:firstLine="420" w:firstLineChars="0"/>
        <w:rPr>
          <w:rFonts w:ascii="仿宋" w:hAnsi="仿宋" w:eastAsia="仿宋" w:cs="仿宋"/>
          <w:highlight w:val="none"/>
        </w:rPr>
      </w:pPr>
      <w:r>
        <w:rPr>
          <w:rFonts w:ascii="仿宋" w:hAnsi="仿宋" w:eastAsia="仿宋" w:cs="仿宋"/>
          <w:highlight w:val="none"/>
        </w:rPr>
        <w:t>1.根据省财政厅《关于进一步发挥政府采购政策功能全力推动经济稳进提质的通知》（浙财采监【2022】3号）要求，制定如下付款方式：</w:t>
      </w:r>
    </w:p>
    <w:p w14:paraId="0A889E9F">
      <w:pPr>
        <w:pStyle w:val="21"/>
        <w:ind w:firstLine="420" w:firstLineChars="0"/>
        <w:rPr>
          <w:rFonts w:ascii="仿宋" w:hAnsi="仿宋" w:eastAsia="仿宋" w:cs="仿宋"/>
          <w:highlight w:val="none"/>
        </w:rPr>
      </w:pPr>
      <w:r>
        <w:rPr>
          <w:rFonts w:ascii="仿宋" w:hAnsi="仿宋" w:eastAsia="仿宋" w:cs="仿宋"/>
          <w:highlight w:val="none"/>
        </w:rPr>
        <w:t>（1）合同签订生效及具备实施条件后7个工作日内支付预付款，即合同金额的40%；</w:t>
      </w:r>
    </w:p>
    <w:p w14:paraId="62941FB9">
      <w:pPr>
        <w:pStyle w:val="21"/>
        <w:ind w:firstLine="420" w:firstLineChars="0"/>
        <w:rPr>
          <w:rFonts w:ascii="仿宋" w:hAnsi="仿宋" w:eastAsia="仿宋" w:cs="仿宋"/>
          <w:highlight w:val="none"/>
        </w:rPr>
      </w:pPr>
      <w:r>
        <w:rPr>
          <w:rFonts w:ascii="仿宋" w:hAnsi="仿宋" w:eastAsia="仿宋" w:cs="仿宋"/>
          <w:highlight w:val="none"/>
        </w:rPr>
        <w:t>（2）</w:t>
      </w:r>
      <w:r>
        <w:rPr>
          <w:rFonts w:hint="eastAsia" w:ascii="仿宋" w:hAnsi="仿宋" w:eastAsia="仿宋" w:cs="仿宋"/>
          <w:highlight w:val="none"/>
        </w:rPr>
        <w:t>项目交付验收合格后</w:t>
      </w:r>
      <w:r>
        <w:rPr>
          <w:rFonts w:ascii="仿宋" w:hAnsi="仿宋" w:eastAsia="仿宋" w:cs="仿宋"/>
          <w:highlight w:val="none"/>
        </w:rPr>
        <w:t>支付至合同金额100%。</w:t>
      </w:r>
    </w:p>
    <w:p w14:paraId="1BCE9813">
      <w:pPr>
        <w:pStyle w:val="21"/>
        <w:ind w:firstLine="420" w:firstLineChars="0"/>
        <w:rPr>
          <w:rFonts w:ascii="仿宋" w:hAnsi="仿宋" w:eastAsia="仿宋" w:cs="仿宋"/>
          <w:highlight w:val="yellow"/>
        </w:rPr>
      </w:pPr>
      <w:r>
        <w:rPr>
          <w:rFonts w:ascii="仿宋" w:hAnsi="仿宋" w:eastAsia="仿宋" w:cs="仿宋"/>
          <w:highlight w:val="none"/>
        </w:rPr>
        <w:t>注：若中标供应商明确表示无需预付款或者主动要求降低预付款比例的，采购人可不适用前述规定。</w:t>
      </w:r>
    </w:p>
    <w:p w14:paraId="28BB7B93">
      <w:pPr>
        <w:pStyle w:val="21"/>
        <w:ind w:firstLine="420" w:firstLineChars="0"/>
        <w:rPr>
          <w:rFonts w:ascii="仿宋" w:hAnsi="仿宋" w:eastAsia="仿宋" w:cs="仿宋"/>
        </w:rPr>
      </w:pPr>
      <w:r>
        <w:rPr>
          <w:rFonts w:ascii="仿宋" w:hAnsi="仿宋" w:eastAsia="仿宋" w:cs="仿宋"/>
        </w:rPr>
        <w:t>2.本项目不收取投标保证金及履约保证金。</w:t>
      </w:r>
    </w:p>
    <w:p w14:paraId="2F92941B">
      <w:pPr>
        <w:pStyle w:val="20"/>
        <w:rPr>
          <w:rFonts w:ascii="仿宋" w:hAnsi="仿宋" w:eastAsia="仿宋" w:cs="仿宋"/>
        </w:rPr>
      </w:pPr>
      <w:r>
        <w:rPr>
          <w:rFonts w:ascii="仿宋" w:hAnsi="仿宋" w:eastAsia="仿宋" w:cs="仿宋"/>
        </w:rPr>
        <w:t>七、联系方式</w:t>
      </w:r>
    </w:p>
    <w:p w14:paraId="0EEE006A">
      <w:pPr>
        <w:pStyle w:val="21"/>
        <w:ind w:firstLine="420" w:firstLineChars="0"/>
        <w:rPr>
          <w:rFonts w:ascii="仿宋" w:hAnsi="仿宋" w:eastAsia="仿宋" w:cs="仿宋"/>
        </w:rPr>
      </w:pPr>
      <w:r>
        <w:rPr>
          <w:rFonts w:ascii="仿宋" w:hAnsi="仿宋" w:eastAsia="仿宋" w:cs="仿宋"/>
        </w:rPr>
        <w:t>采购人：湖州学院</w:t>
      </w:r>
    </w:p>
    <w:p w14:paraId="10AF2766">
      <w:pPr>
        <w:pStyle w:val="21"/>
        <w:ind w:firstLine="420" w:firstLineChars="0"/>
        <w:rPr>
          <w:rFonts w:ascii="仿宋" w:hAnsi="仿宋" w:eastAsia="仿宋" w:cs="仿宋"/>
          <w:highlight w:val="none"/>
        </w:rPr>
      </w:pPr>
      <w:r>
        <w:rPr>
          <w:rFonts w:ascii="仿宋" w:hAnsi="仿宋" w:eastAsia="仿宋" w:cs="仿宋"/>
          <w:lang w:eastAsia="zh-Hans"/>
        </w:rPr>
        <w:t>项目</w:t>
      </w:r>
      <w:r>
        <w:rPr>
          <w:rFonts w:ascii="仿宋" w:hAnsi="仿宋" w:eastAsia="仿宋" w:cs="仿宋"/>
        </w:rPr>
        <w:t>联系人：</w:t>
      </w:r>
      <w:r>
        <w:rPr>
          <w:rFonts w:hint="eastAsia" w:ascii="仿宋" w:hAnsi="仿宋" w:eastAsia="仿宋" w:cs="仿宋"/>
          <w:lang w:val="en-US" w:eastAsia="zh-CN"/>
        </w:rPr>
        <w:t>史老师</w:t>
      </w:r>
      <w:r>
        <w:rPr>
          <w:rFonts w:ascii="仿宋" w:hAnsi="仿宋" w:eastAsia="仿宋" w:cs="仿宋"/>
        </w:rPr>
        <w:t xml:space="preserve">                         </w:t>
      </w:r>
      <w:r>
        <w:rPr>
          <w:rFonts w:ascii="仿宋" w:hAnsi="仿宋" w:eastAsia="仿宋" w:cs="仿宋"/>
          <w:highlight w:val="none"/>
        </w:rPr>
        <w:t>联系电话：</w:t>
      </w:r>
      <w:r>
        <w:rPr>
          <w:rFonts w:hint="eastAsia" w:ascii="仿宋" w:hAnsi="仿宋" w:eastAsia="仿宋" w:cs="仿宋"/>
          <w:highlight w:val="none"/>
          <w:lang w:val="en-US" w:eastAsia="zh-CN"/>
        </w:rPr>
        <w:t>15921667696</w:t>
      </w:r>
    </w:p>
    <w:p w14:paraId="52D60E8A">
      <w:pPr>
        <w:pStyle w:val="21"/>
        <w:ind w:firstLine="420" w:firstLineChars="0"/>
        <w:rPr>
          <w:rFonts w:hint="default" w:ascii="仿宋" w:hAnsi="仿宋" w:eastAsia="仿宋" w:cs="仿宋"/>
          <w:highlight w:val="none"/>
          <w:lang w:val="en-US" w:eastAsia="zh-CN"/>
        </w:rPr>
      </w:pPr>
      <w:r>
        <w:rPr>
          <w:rFonts w:ascii="仿宋" w:hAnsi="仿宋" w:eastAsia="仿宋" w:cs="仿宋"/>
          <w:highlight w:val="none"/>
        </w:rPr>
        <w:t>质疑联系人：王老师                         联系电话：</w:t>
      </w:r>
      <w:r>
        <w:rPr>
          <w:rFonts w:hint="eastAsia" w:ascii="仿宋" w:hAnsi="仿宋" w:eastAsia="仿宋" w:cs="仿宋"/>
          <w:highlight w:val="none"/>
          <w:lang w:val="en-US" w:eastAsia="zh-CN"/>
        </w:rPr>
        <w:t>0572-2112239</w:t>
      </w:r>
    </w:p>
    <w:p w14:paraId="2DC6D7F1">
      <w:pPr>
        <w:pStyle w:val="21"/>
        <w:ind w:firstLine="420" w:firstLineChars="0"/>
        <w:rPr>
          <w:rFonts w:ascii="仿宋" w:hAnsi="仿宋" w:eastAsia="仿宋" w:cs="仿宋"/>
        </w:rPr>
      </w:pPr>
    </w:p>
    <w:p w14:paraId="6774419C">
      <w:pPr>
        <w:pStyle w:val="20"/>
        <w:rPr>
          <w:rFonts w:ascii="仿宋" w:hAnsi="仿宋" w:eastAsia="仿宋" w:cs="仿宋"/>
        </w:rPr>
      </w:pPr>
      <w:r>
        <w:rPr>
          <w:rFonts w:ascii="仿宋" w:hAnsi="仿宋" w:eastAsia="仿宋" w:cs="仿宋"/>
        </w:rPr>
        <w:t>八：附件：</w:t>
      </w:r>
    </w:p>
    <w:p w14:paraId="4D940524">
      <w:pPr>
        <w:pStyle w:val="21"/>
        <w:ind w:firstLine="420" w:firstLineChars="0"/>
        <w:jc w:val="left"/>
        <w:rPr>
          <w:rFonts w:ascii="仿宋" w:hAnsi="仿宋" w:eastAsia="仿宋" w:cs="仿宋"/>
        </w:rPr>
      </w:pPr>
      <w:r>
        <w:rPr>
          <w:rFonts w:ascii="仿宋" w:hAnsi="仿宋" w:eastAsia="仿宋" w:cs="仿宋"/>
        </w:rPr>
        <w:t>附件1：采购需求</w:t>
      </w:r>
    </w:p>
    <w:p w14:paraId="6F8228CE">
      <w:pPr>
        <w:pStyle w:val="21"/>
        <w:ind w:firstLine="420" w:firstLineChars="0"/>
        <w:jc w:val="left"/>
        <w:rPr>
          <w:rFonts w:ascii="仿宋" w:hAnsi="仿宋" w:eastAsia="仿宋" w:cs="仿宋"/>
        </w:rPr>
      </w:pPr>
      <w:r>
        <w:rPr>
          <w:rFonts w:ascii="仿宋" w:hAnsi="仿宋" w:eastAsia="仿宋" w:cs="仿宋"/>
        </w:rPr>
        <w:t>附件2：评标办法及评分标准</w:t>
      </w:r>
    </w:p>
    <w:p w14:paraId="7577D95D">
      <w:pPr>
        <w:pStyle w:val="21"/>
        <w:ind w:firstLine="420" w:firstLineChars="0"/>
        <w:jc w:val="left"/>
        <w:rPr>
          <w:rFonts w:ascii="仿宋" w:hAnsi="仿宋" w:eastAsia="仿宋" w:cs="仿宋"/>
        </w:rPr>
      </w:pPr>
      <w:r>
        <w:rPr>
          <w:rFonts w:ascii="仿宋" w:hAnsi="仿宋" w:eastAsia="仿宋" w:cs="仿宋"/>
        </w:rPr>
        <w:t>附件3：资格文件参考格式</w:t>
      </w:r>
    </w:p>
    <w:p w14:paraId="506B681B">
      <w:pPr>
        <w:pStyle w:val="21"/>
        <w:ind w:firstLine="420" w:firstLineChars="0"/>
        <w:jc w:val="left"/>
        <w:rPr>
          <w:rFonts w:ascii="仿宋" w:hAnsi="仿宋" w:eastAsia="仿宋" w:cs="仿宋"/>
        </w:rPr>
      </w:pPr>
      <w:r>
        <w:rPr>
          <w:rFonts w:ascii="仿宋" w:hAnsi="仿宋" w:eastAsia="仿宋" w:cs="仿宋"/>
        </w:rPr>
        <w:t>附件4：技术商务文件参考格式</w:t>
      </w:r>
    </w:p>
    <w:p w14:paraId="422357DF">
      <w:pPr>
        <w:pStyle w:val="21"/>
        <w:ind w:firstLine="420" w:firstLineChars="0"/>
        <w:jc w:val="left"/>
        <w:rPr>
          <w:rFonts w:ascii="仿宋" w:hAnsi="仿宋" w:eastAsia="仿宋" w:cs="仿宋"/>
        </w:rPr>
      </w:pPr>
      <w:r>
        <w:rPr>
          <w:rFonts w:ascii="仿宋" w:hAnsi="仿宋" w:eastAsia="仿宋" w:cs="仿宋"/>
        </w:rPr>
        <w:t>附件5：报价文件参考格式</w:t>
      </w:r>
    </w:p>
    <w:p w14:paraId="02167E81">
      <w:pPr>
        <w:pStyle w:val="21"/>
        <w:ind w:firstLine="420" w:firstLineChars="0"/>
        <w:jc w:val="right"/>
        <w:rPr>
          <w:rFonts w:ascii="仿宋" w:hAnsi="仿宋" w:eastAsia="仿宋" w:cs="仿宋"/>
        </w:rPr>
      </w:pPr>
      <w:r>
        <w:rPr>
          <w:rFonts w:ascii="仿宋" w:hAnsi="仿宋" w:eastAsia="仿宋" w:cs="仿宋"/>
        </w:rPr>
        <w:t>湖州学院采购事务中心</w:t>
      </w:r>
    </w:p>
    <w:p w14:paraId="346745A6">
      <w:pPr>
        <w:pStyle w:val="21"/>
        <w:ind w:firstLine="420" w:firstLineChars="0"/>
        <w:jc w:val="right"/>
        <w:rPr>
          <w:rFonts w:ascii="仿宋" w:hAnsi="仿宋" w:eastAsia="仿宋" w:cs="仿宋"/>
          <w:highlight w:val="none"/>
        </w:rPr>
        <w:sectPr>
          <w:footerReference r:id="rId5"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highlight w:val="none"/>
        </w:rPr>
        <w:t>2025年</w:t>
      </w:r>
      <w:r>
        <w:rPr>
          <w:rFonts w:hint="eastAsia" w:ascii="仿宋" w:hAnsi="仿宋" w:eastAsia="仿宋" w:cs="仿宋"/>
          <w:highlight w:val="none"/>
          <w:lang w:val="en-US" w:eastAsia="zh-CN"/>
        </w:rPr>
        <w:t>10</w:t>
      </w:r>
      <w:r>
        <w:rPr>
          <w:rFonts w:ascii="仿宋" w:hAnsi="仿宋" w:eastAsia="仿宋" w:cs="仿宋"/>
          <w:highlight w:val="none"/>
        </w:rPr>
        <w:t>月</w:t>
      </w:r>
      <w:r>
        <w:rPr>
          <w:rFonts w:hint="eastAsia" w:ascii="仿宋" w:hAnsi="仿宋" w:eastAsia="仿宋" w:cs="仿宋"/>
          <w:highlight w:val="none"/>
          <w:lang w:val="en-US" w:eastAsia="zh-CN"/>
        </w:rPr>
        <w:t>29</w:t>
      </w:r>
      <w:r>
        <w:rPr>
          <w:rFonts w:ascii="仿宋" w:hAnsi="仿宋" w:eastAsia="仿宋" w:cs="仿宋"/>
          <w:highlight w:val="none"/>
        </w:rPr>
        <w:t>日</w:t>
      </w:r>
    </w:p>
    <w:p w14:paraId="3754F5CC">
      <w:pPr>
        <w:spacing w:line="360" w:lineRule="auto"/>
        <w:jc w:val="left"/>
        <w:rPr>
          <w:rFonts w:hint="eastAsia" w:ascii="仿宋" w:hAnsi="仿宋" w:eastAsia="仿宋" w:cs="仿宋"/>
          <w:bCs/>
          <w:sz w:val="24"/>
        </w:rPr>
      </w:pPr>
      <w:r>
        <w:rPr>
          <w:rFonts w:hint="eastAsia" w:ascii="仿宋" w:hAnsi="仿宋" w:eastAsia="仿宋" w:cs="仿宋"/>
          <w:bCs/>
          <w:sz w:val="24"/>
        </w:rPr>
        <w:t>附件1：</w:t>
      </w:r>
    </w:p>
    <w:p w14:paraId="05D77B58">
      <w:pPr>
        <w:spacing w:line="360" w:lineRule="auto"/>
        <w:jc w:val="center"/>
        <w:outlineLvl w:val="1"/>
        <w:rPr>
          <w:rFonts w:hint="eastAsia" w:ascii="仿宋" w:hAnsi="仿宋" w:eastAsia="仿宋" w:cs="仿宋"/>
          <w:b/>
          <w:sz w:val="32"/>
          <w:szCs w:val="32"/>
        </w:rPr>
      </w:pPr>
      <w:r>
        <w:rPr>
          <w:rFonts w:hint="eastAsia" w:ascii="仿宋" w:hAnsi="仿宋" w:eastAsia="仿宋" w:cs="仿宋"/>
          <w:b/>
          <w:sz w:val="32"/>
          <w:szCs w:val="32"/>
        </w:rPr>
        <w:t>采购需求</w:t>
      </w:r>
    </w:p>
    <w:p w14:paraId="7B7C6867">
      <w:pPr>
        <w:numPr>
          <w:ilvl w:val="0"/>
          <w:numId w:val="7"/>
        </w:numPr>
        <w:spacing w:line="360" w:lineRule="auto"/>
        <w:jc w:val="left"/>
        <w:outlineLvl w:val="1"/>
        <w:rPr>
          <w:rFonts w:hint="eastAsia" w:ascii="仿宋" w:hAnsi="仿宋" w:eastAsia="仿宋" w:cs="仿宋"/>
          <w:b/>
          <w:sz w:val="28"/>
          <w:szCs w:val="28"/>
        </w:rPr>
      </w:pPr>
      <w:r>
        <w:rPr>
          <w:rFonts w:hint="eastAsia" w:ascii="仿宋" w:hAnsi="仿宋" w:eastAsia="仿宋" w:cs="仿宋"/>
          <w:b/>
          <w:sz w:val="28"/>
          <w:szCs w:val="28"/>
          <w:lang w:val="en-US" w:eastAsia="zh-CN"/>
        </w:rPr>
        <w:t>技术</w:t>
      </w:r>
      <w:r>
        <w:rPr>
          <w:rFonts w:hint="eastAsia" w:ascii="仿宋" w:hAnsi="仿宋" w:eastAsia="仿宋" w:cs="仿宋"/>
          <w:b/>
          <w:sz w:val="28"/>
          <w:szCs w:val="28"/>
        </w:rPr>
        <w:t>需求</w:t>
      </w:r>
    </w:p>
    <w:p w14:paraId="2DA6E0F6">
      <w:pPr>
        <w:pStyle w:val="3"/>
        <w:pageBreakBefore w:val="0"/>
        <w:numPr>
          <w:ilvl w:val="0"/>
          <w:numId w:val="0"/>
        </w:numPr>
        <w:kinsoku/>
        <w:wordWrap/>
        <w:overflowPunct/>
        <w:topLinePunct w:val="0"/>
        <w:autoSpaceDE/>
        <w:autoSpaceDN/>
        <w:bidi w:val="0"/>
        <w:adjustRightInd/>
        <w:snapToGrid/>
        <w:spacing w:line="400" w:lineRule="atLeast"/>
        <w:ind w:leftChars="0"/>
        <w:textAlignment w:val="auto"/>
        <w:rPr>
          <w:rFonts w:hint="eastAsia" w:ascii="仿宋" w:hAnsi="仿宋" w:eastAsia="仿宋" w:cs="仿宋"/>
          <w:sz w:val="24"/>
          <w:szCs w:val="24"/>
        </w:rPr>
      </w:pPr>
      <w:bookmarkStart w:id="0" w:name="_Toc138761298"/>
      <w:r>
        <w:rPr>
          <w:rFonts w:hint="eastAsia" w:ascii="仿宋" w:hAnsi="仿宋" w:eastAsia="仿宋" w:cs="仿宋"/>
          <w:sz w:val="24"/>
          <w:szCs w:val="24"/>
          <w:lang w:val="en-US" w:eastAsia="zh-CN"/>
        </w:rPr>
        <w:t>（一）</w:t>
      </w:r>
      <w:r>
        <w:rPr>
          <w:rFonts w:hint="eastAsia" w:ascii="仿宋" w:hAnsi="仿宋" w:eastAsia="仿宋" w:cs="仿宋"/>
          <w:sz w:val="24"/>
          <w:szCs w:val="24"/>
        </w:rPr>
        <w:t>技术方案</w:t>
      </w:r>
    </w:p>
    <w:p w14:paraId="44BA5EFA">
      <w:pPr>
        <w:pageBreakBefore w:val="0"/>
        <w:numPr>
          <w:ilvl w:val="1"/>
          <w:numId w:val="8"/>
        </w:numPr>
        <w:kinsoku/>
        <w:wordWrap/>
        <w:overflowPunct/>
        <w:topLinePunct w:val="0"/>
        <w:autoSpaceDE/>
        <w:autoSpaceDN/>
        <w:bidi w:val="0"/>
        <w:adjustRightInd/>
        <w:snapToGrid/>
        <w:spacing w:line="400" w:lineRule="atLeast"/>
        <w:textAlignment w:val="auto"/>
        <w:outlineLvl w:val="9"/>
        <w:rPr>
          <w:rFonts w:hint="eastAsia" w:ascii="仿宋" w:hAnsi="仿宋" w:eastAsia="仿宋" w:cs="仿宋"/>
          <w:sz w:val="24"/>
          <w:szCs w:val="24"/>
        </w:rPr>
      </w:pPr>
      <w:r>
        <w:rPr>
          <w:rFonts w:hint="eastAsia" w:ascii="仿宋" w:hAnsi="仿宋" w:eastAsia="仿宋" w:cs="仿宋"/>
          <w:sz w:val="24"/>
          <w:szCs w:val="24"/>
        </w:rPr>
        <w:t>总体设计</w:t>
      </w:r>
      <w:bookmarkEnd w:id="0"/>
    </w:p>
    <w:p w14:paraId="4C6456C5">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rPr>
      </w:pPr>
      <w:r>
        <w:rPr>
          <w:rFonts w:hint="eastAsia" w:ascii="仿宋" w:hAnsi="仿宋" w:eastAsia="仿宋" w:cs="仿宋"/>
          <w:sz w:val="24"/>
          <w:szCs w:val="24"/>
        </w:rPr>
        <w:t>系统总体框架由数据采集层、数据存储层、数据分析层和业务应用层组成。各层间的界限清晰，功能明确而不交叉，具有较高的可配置性和伸缩性。</w:t>
      </w:r>
    </w:p>
    <w:p w14:paraId="0E9E7892">
      <w:pPr>
        <w:pageBreakBefore w:val="0"/>
        <w:numPr>
          <w:ilvl w:val="1"/>
          <w:numId w:val="8"/>
        </w:numPr>
        <w:kinsoku/>
        <w:wordWrap/>
        <w:overflowPunct/>
        <w:topLinePunct w:val="0"/>
        <w:autoSpaceDE/>
        <w:autoSpaceDN/>
        <w:bidi w:val="0"/>
        <w:adjustRightInd/>
        <w:snapToGrid/>
        <w:spacing w:line="400" w:lineRule="atLeast"/>
        <w:textAlignment w:val="auto"/>
        <w:outlineLvl w:val="9"/>
        <w:rPr>
          <w:rFonts w:hint="eastAsia" w:ascii="仿宋" w:hAnsi="仿宋" w:eastAsia="仿宋" w:cs="仿宋"/>
          <w:sz w:val="24"/>
          <w:szCs w:val="24"/>
        </w:rPr>
      </w:pPr>
      <w:bookmarkStart w:id="1" w:name="_Toc138761299"/>
      <w:r>
        <w:rPr>
          <w:rFonts w:hint="eastAsia" w:ascii="仿宋" w:hAnsi="仿宋" w:eastAsia="仿宋" w:cs="仿宋"/>
          <w:sz w:val="24"/>
          <w:szCs w:val="24"/>
        </w:rPr>
        <w:t>安全设计</w:t>
      </w:r>
      <w:bookmarkEnd w:id="1"/>
    </w:p>
    <w:p w14:paraId="716453AE">
      <w:pPr>
        <w:pageBreakBefore w:val="0"/>
        <w:kinsoku/>
        <w:wordWrap/>
        <w:overflowPunct/>
        <w:topLinePunct w:val="0"/>
        <w:autoSpaceDE/>
        <w:autoSpaceDN/>
        <w:bidi w:val="0"/>
        <w:adjustRightInd/>
        <w:snapToGrid/>
        <w:spacing w:line="400" w:lineRule="atLeast"/>
        <w:ind w:firstLine="420"/>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本平台建设中使用的机房、网络等环境均统一纳入市网信办软硬件支撑运行环境进行管理，因此本平台建设的安全环境以及运行环境满足安全等级保护三级的要求</w:t>
      </w:r>
      <w:r>
        <w:rPr>
          <w:rFonts w:hint="eastAsia" w:ascii="仿宋" w:hAnsi="仿宋" w:eastAsia="仿宋" w:cs="仿宋"/>
          <w:sz w:val="24"/>
          <w:szCs w:val="24"/>
          <w:lang w:eastAsia="zh-CN"/>
        </w:rPr>
        <w:t>。</w:t>
      </w:r>
    </w:p>
    <w:p w14:paraId="276ACA47">
      <w:pPr>
        <w:pStyle w:val="3"/>
        <w:pageBreakBefore w:val="0"/>
        <w:numPr>
          <w:ilvl w:val="0"/>
          <w:numId w:val="0"/>
        </w:numPr>
        <w:kinsoku/>
        <w:wordWrap/>
        <w:overflowPunct/>
        <w:topLinePunct w:val="0"/>
        <w:autoSpaceDE/>
        <w:autoSpaceDN/>
        <w:bidi w:val="0"/>
        <w:adjustRightInd/>
        <w:snapToGrid/>
        <w:spacing w:line="400" w:lineRule="atLeast"/>
        <w:ind w:leftChars="0"/>
        <w:textAlignment w:val="auto"/>
        <w:rPr>
          <w:rFonts w:hint="eastAsia" w:ascii="仿宋" w:hAnsi="仿宋" w:eastAsia="仿宋" w:cs="仿宋"/>
          <w:sz w:val="24"/>
          <w:szCs w:val="24"/>
        </w:rPr>
      </w:pPr>
      <w:bookmarkStart w:id="2" w:name="_Toc138761300"/>
      <w:r>
        <w:rPr>
          <w:rFonts w:hint="eastAsia" w:ascii="仿宋" w:hAnsi="仿宋" w:eastAsia="仿宋" w:cs="仿宋"/>
          <w:sz w:val="24"/>
          <w:szCs w:val="24"/>
          <w:lang w:val="en-US" w:eastAsia="zh-CN"/>
        </w:rPr>
        <w:t>（二）</w:t>
      </w:r>
      <w:r>
        <w:rPr>
          <w:rFonts w:hint="eastAsia" w:ascii="仿宋" w:hAnsi="仿宋" w:eastAsia="仿宋" w:cs="仿宋"/>
          <w:sz w:val="24"/>
          <w:szCs w:val="24"/>
        </w:rPr>
        <w:t>功能方案</w:t>
      </w:r>
      <w:bookmarkEnd w:id="2"/>
    </w:p>
    <w:p w14:paraId="4FF419CA">
      <w:pPr>
        <w:pageBreakBefore w:val="0"/>
        <w:numPr>
          <w:ilvl w:val="1"/>
          <w:numId w:val="8"/>
        </w:numPr>
        <w:kinsoku/>
        <w:wordWrap/>
        <w:overflowPunct/>
        <w:topLinePunct w:val="0"/>
        <w:autoSpaceDE/>
        <w:autoSpaceDN/>
        <w:bidi w:val="0"/>
        <w:adjustRightInd/>
        <w:snapToGrid/>
        <w:spacing w:line="400" w:lineRule="atLeast"/>
        <w:textAlignment w:val="auto"/>
        <w:outlineLvl w:val="9"/>
        <w:rPr>
          <w:rFonts w:hint="eastAsia" w:ascii="仿宋" w:hAnsi="仿宋" w:eastAsia="仿宋" w:cs="仿宋"/>
          <w:sz w:val="24"/>
          <w:szCs w:val="24"/>
        </w:rPr>
      </w:pPr>
      <w:bookmarkStart w:id="3" w:name="_Toc138761301"/>
      <w:r>
        <w:rPr>
          <w:rFonts w:hint="eastAsia" w:ascii="仿宋" w:hAnsi="仿宋" w:eastAsia="仿宋" w:cs="仿宋"/>
          <w:sz w:val="24"/>
          <w:szCs w:val="24"/>
        </w:rPr>
        <w:t>属地舆情信息持续监测</w:t>
      </w:r>
      <w:bookmarkEnd w:id="3"/>
    </w:p>
    <w:p w14:paraId="310538BD">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rPr>
      </w:pPr>
      <w:r>
        <w:rPr>
          <w:rFonts w:hint="eastAsia" w:ascii="仿宋" w:hAnsi="仿宋" w:eastAsia="仿宋" w:cs="仿宋"/>
          <w:sz w:val="24"/>
          <w:szCs w:val="24"/>
        </w:rPr>
        <w:t>依托语义分析、数据标签、机器学习等大数据和人工智能技术，逐步建立集数据价值挖掘、重大风险预警、舆情态势预判、重点账号动态跟踪等功能于一体的舆情数据系统。</w:t>
      </w:r>
    </w:p>
    <w:p w14:paraId="2134B457">
      <w:pPr>
        <w:pageBreakBefore w:val="0"/>
        <w:numPr>
          <w:ilvl w:val="2"/>
          <w:numId w:val="8"/>
        </w:numPr>
        <w:kinsoku/>
        <w:wordWrap/>
        <w:overflowPunct/>
        <w:topLinePunct w:val="0"/>
        <w:autoSpaceDE/>
        <w:autoSpaceDN/>
        <w:bidi w:val="0"/>
        <w:adjustRightInd/>
        <w:snapToGrid/>
        <w:spacing w:line="400" w:lineRule="atLeast"/>
        <w:ind w:hanging="294"/>
        <w:textAlignment w:val="auto"/>
        <w:outlineLvl w:val="9"/>
        <w:rPr>
          <w:rFonts w:hint="eastAsia" w:ascii="仿宋" w:hAnsi="仿宋" w:eastAsia="仿宋" w:cs="仿宋"/>
          <w:sz w:val="24"/>
          <w:szCs w:val="24"/>
        </w:rPr>
      </w:pPr>
      <w:bookmarkStart w:id="4" w:name="_Toc138761302"/>
      <w:r>
        <w:rPr>
          <w:rFonts w:hint="eastAsia" w:ascii="仿宋" w:hAnsi="仿宋" w:eastAsia="仿宋" w:cs="仿宋"/>
          <w:sz w:val="24"/>
          <w:szCs w:val="24"/>
        </w:rPr>
        <w:t>属地信息监测</w:t>
      </w:r>
      <w:bookmarkEnd w:id="4"/>
    </w:p>
    <w:p w14:paraId="673F52EE">
      <w:pPr>
        <w:pageBreakBefore w:val="0"/>
        <w:numPr>
          <w:ilvl w:val="0"/>
          <w:numId w:val="9"/>
        </w:numPr>
        <w:kinsoku/>
        <w:wordWrap/>
        <w:overflowPunct/>
        <w:topLinePunct w:val="0"/>
        <w:autoSpaceDE/>
        <w:autoSpaceDN/>
        <w:bidi w:val="0"/>
        <w:adjustRightInd/>
        <w:snapToGrid/>
        <w:spacing w:after="156" w:afterLines="50" w:line="400" w:lineRule="atLeast"/>
        <w:ind w:left="425" w:leftChars="0" w:hanging="425" w:firstLineChars="0"/>
        <w:textAlignment w:val="auto"/>
        <w:outlineLvl w:val="9"/>
        <w:rPr>
          <w:rFonts w:hint="eastAsia" w:ascii="仿宋" w:hAnsi="仿宋" w:eastAsia="仿宋" w:cs="仿宋"/>
          <w:sz w:val="24"/>
          <w:szCs w:val="24"/>
        </w:rPr>
      </w:pPr>
      <w:r>
        <w:rPr>
          <w:rFonts w:hint="eastAsia" w:ascii="仿宋" w:hAnsi="仿宋" w:eastAsia="仿宋" w:cs="仿宋"/>
          <w:sz w:val="24"/>
          <w:szCs w:val="24"/>
        </w:rPr>
        <w:t>实现对互联网新闻、小视频、论坛、平媒、视频、微博、微信、手机APP等互联网主流媒体覆盖，并实现图片OCR功能，可识别图片、横幅、拍照等资料中出现的文字信息。支持微博信息实时检测，分辨是否失效。除文字中包含的地域词外，还可对</w:t>
      </w:r>
      <w:r>
        <w:rPr>
          <w:rFonts w:hint="eastAsia" w:ascii="仿宋" w:hAnsi="仿宋" w:eastAsia="仿宋" w:cs="仿宋"/>
          <w:sz w:val="24"/>
          <w:szCs w:val="24"/>
          <w:lang w:val="zh-CN" w:bidi="en-US"/>
        </w:rPr>
        <w:t>属地注册</w:t>
      </w:r>
      <w:r>
        <w:rPr>
          <w:rFonts w:hint="eastAsia" w:ascii="仿宋" w:hAnsi="仿宋" w:eastAsia="仿宋" w:cs="仿宋"/>
          <w:sz w:val="24"/>
          <w:szCs w:val="24"/>
          <w:lang w:val="zh-CN"/>
        </w:rPr>
        <w:t>账号、属地签到信息、属地发布信息、同城推荐信息、属地人民网留言板、属地问政平台等维度属地类型实现舆情监测。</w:t>
      </w:r>
    </w:p>
    <w:p w14:paraId="25627366">
      <w:pPr>
        <w:pageBreakBefore w:val="0"/>
        <w:numPr>
          <w:ilvl w:val="0"/>
          <w:numId w:val="9"/>
        </w:numPr>
        <w:kinsoku/>
        <w:wordWrap/>
        <w:overflowPunct/>
        <w:topLinePunct w:val="0"/>
        <w:autoSpaceDE/>
        <w:autoSpaceDN/>
        <w:bidi w:val="0"/>
        <w:adjustRightInd/>
        <w:snapToGrid/>
        <w:spacing w:after="156" w:afterLines="50" w:line="400" w:lineRule="atLeast"/>
        <w:ind w:left="425" w:leftChars="0" w:hanging="425" w:firstLine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rPr>
        <w:t>实现对舆情信息、预警信息的综合分析，能够针对数据源、正负面信息、信息走势等进行不同维度、不同时间区间的分析。提供可视化图表展示</w:t>
      </w:r>
      <w:r>
        <w:rPr>
          <w:rFonts w:hint="eastAsia" w:ascii="仿宋" w:hAnsi="仿宋" w:eastAsia="仿宋" w:cs="仿宋"/>
          <w:sz w:val="24"/>
          <w:szCs w:val="24"/>
          <w:lang w:eastAsia="zh-CN"/>
        </w:rPr>
        <w:t>。</w:t>
      </w:r>
    </w:p>
    <w:p w14:paraId="25777A63">
      <w:pPr>
        <w:pageBreakBefore w:val="0"/>
        <w:numPr>
          <w:ilvl w:val="0"/>
          <w:numId w:val="9"/>
        </w:numPr>
        <w:kinsoku/>
        <w:wordWrap/>
        <w:overflowPunct/>
        <w:topLinePunct w:val="0"/>
        <w:autoSpaceDE/>
        <w:autoSpaceDN/>
        <w:bidi w:val="0"/>
        <w:adjustRightInd/>
        <w:snapToGrid/>
        <w:spacing w:after="156" w:afterLines="50" w:line="400" w:lineRule="atLeast"/>
        <w:ind w:left="425" w:leftChars="0" w:hanging="425" w:firstLineChars="0"/>
        <w:textAlignment w:val="auto"/>
        <w:outlineLvl w:val="9"/>
        <w:rPr>
          <w:rFonts w:hint="eastAsia" w:ascii="仿宋" w:hAnsi="仿宋" w:eastAsia="仿宋" w:cs="仿宋"/>
          <w:sz w:val="24"/>
          <w:szCs w:val="24"/>
        </w:rPr>
      </w:pPr>
      <w:r>
        <w:rPr>
          <w:rFonts w:hint="eastAsia" w:ascii="仿宋" w:hAnsi="仿宋" w:eastAsia="仿宋" w:cs="仿宋"/>
          <w:sz w:val="24"/>
          <w:szCs w:val="24"/>
        </w:rPr>
        <w:t>提供通过配置关键词方式的采集服务，支持关键词的精准度设置，监测配置提供行业词模型选择，支持标签订阅。</w:t>
      </w:r>
    </w:p>
    <w:p w14:paraId="5CD7F411">
      <w:pPr>
        <w:pageBreakBefore w:val="0"/>
        <w:numPr>
          <w:ilvl w:val="0"/>
          <w:numId w:val="9"/>
        </w:numPr>
        <w:kinsoku/>
        <w:wordWrap/>
        <w:overflowPunct/>
        <w:topLinePunct w:val="0"/>
        <w:autoSpaceDE/>
        <w:autoSpaceDN/>
        <w:bidi w:val="0"/>
        <w:adjustRightInd/>
        <w:snapToGrid/>
        <w:spacing w:after="156" w:afterLines="50" w:line="400" w:lineRule="atLeast"/>
        <w:ind w:left="425" w:leftChars="0" w:hanging="425" w:firstLineChars="0"/>
        <w:textAlignment w:val="auto"/>
        <w:outlineLvl w:val="9"/>
        <w:rPr>
          <w:rFonts w:hint="eastAsia" w:ascii="仿宋" w:hAnsi="仿宋" w:eastAsia="仿宋" w:cs="仿宋"/>
          <w:sz w:val="24"/>
          <w:szCs w:val="24"/>
        </w:rPr>
      </w:pPr>
      <w:r>
        <w:rPr>
          <w:rFonts w:hint="eastAsia" w:ascii="仿宋" w:hAnsi="仿宋" w:eastAsia="仿宋" w:cs="仿宋"/>
          <w:sz w:val="24"/>
          <w:szCs w:val="24"/>
        </w:rPr>
        <w:t>支持针对微博信息、网媒信息可以实现一键溯源分析。溯源信息需包括信息概况、首发、关键传播路径、引爆点、转发时间趋势。</w:t>
      </w:r>
    </w:p>
    <w:p w14:paraId="7D2267C7">
      <w:pPr>
        <w:pageBreakBefore w:val="0"/>
        <w:numPr>
          <w:ilvl w:val="0"/>
          <w:numId w:val="9"/>
        </w:numPr>
        <w:kinsoku/>
        <w:wordWrap/>
        <w:overflowPunct/>
        <w:topLinePunct w:val="0"/>
        <w:autoSpaceDE/>
        <w:autoSpaceDN/>
        <w:bidi w:val="0"/>
        <w:adjustRightInd/>
        <w:snapToGrid/>
        <w:spacing w:after="156" w:afterLines="50" w:line="400" w:lineRule="atLeast"/>
        <w:ind w:left="425" w:leftChars="0" w:hanging="425" w:firstLineChars="0"/>
        <w:textAlignment w:val="auto"/>
        <w:outlineLvl w:val="9"/>
        <w:rPr>
          <w:rFonts w:hint="eastAsia" w:ascii="仿宋" w:hAnsi="仿宋" w:eastAsia="仿宋" w:cs="仿宋"/>
          <w:sz w:val="24"/>
          <w:szCs w:val="24"/>
        </w:rPr>
      </w:pPr>
      <w:r>
        <w:rPr>
          <w:rFonts w:hint="eastAsia" w:ascii="仿宋" w:hAnsi="仿宋" w:eastAsia="仿宋" w:cs="仿宋"/>
          <w:sz w:val="24"/>
          <w:szCs w:val="24"/>
        </w:rPr>
        <w:t>舆情浏览：实现舆情工作台功能，实现对舆情概况的展现，并能够链接到相关功能模块。至少包括当日舆情信息、一周内信息走势、预警信息、最新热点、舆情简报等信息。</w:t>
      </w:r>
    </w:p>
    <w:p w14:paraId="53366793">
      <w:pPr>
        <w:pageBreakBefore w:val="0"/>
        <w:numPr>
          <w:ilvl w:val="0"/>
          <w:numId w:val="9"/>
        </w:numPr>
        <w:kinsoku/>
        <w:wordWrap/>
        <w:overflowPunct/>
        <w:topLinePunct w:val="0"/>
        <w:autoSpaceDE/>
        <w:autoSpaceDN/>
        <w:bidi w:val="0"/>
        <w:adjustRightInd/>
        <w:snapToGrid/>
        <w:spacing w:after="156" w:afterLines="50" w:line="400" w:lineRule="atLeast"/>
        <w:ind w:left="425" w:leftChars="0" w:hanging="425" w:firstLineChars="0"/>
        <w:textAlignment w:val="auto"/>
        <w:outlineLvl w:val="9"/>
        <w:rPr>
          <w:rFonts w:hint="eastAsia" w:ascii="仿宋" w:hAnsi="仿宋" w:eastAsia="仿宋" w:cs="仿宋"/>
          <w:sz w:val="24"/>
          <w:szCs w:val="24"/>
        </w:rPr>
      </w:pPr>
      <w:r>
        <w:rPr>
          <w:rFonts w:hint="eastAsia" w:ascii="仿宋" w:hAnsi="仿宋" w:eastAsia="仿宋" w:cs="仿宋"/>
          <w:sz w:val="24"/>
          <w:szCs w:val="24"/>
        </w:rPr>
        <w:t>智能识别含图片的信息，可对图片信息进行分析处理，并可识别图中的文字信息。</w:t>
      </w:r>
    </w:p>
    <w:p w14:paraId="28BFBCAB">
      <w:pPr>
        <w:pageBreakBefore w:val="0"/>
        <w:numPr>
          <w:ilvl w:val="0"/>
          <w:numId w:val="9"/>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rPr>
      </w:pPr>
      <w:r>
        <w:rPr>
          <w:rFonts w:hint="eastAsia" w:ascii="仿宋" w:hAnsi="仿宋" w:eastAsia="仿宋" w:cs="仿宋"/>
          <w:sz w:val="24"/>
          <w:szCs w:val="24"/>
        </w:rPr>
        <w:t>支持舆情日报，系统自动汇总账户内当日的重要舆情信息，生成舆情日报，可以以word文档下载到本地。</w:t>
      </w:r>
    </w:p>
    <w:p w14:paraId="029B8199">
      <w:pPr>
        <w:pageBreakBefore w:val="0"/>
        <w:numPr>
          <w:ilvl w:val="2"/>
          <w:numId w:val="8"/>
        </w:numPr>
        <w:kinsoku/>
        <w:wordWrap/>
        <w:overflowPunct/>
        <w:topLinePunct w:val="0"/>
        <w:autoSpaceDE/>
        <w:autoSpaceDN/>
        <w:bidi w:val="0"/>
        <w:adjustRightInd/>
        <w:snapToGrid/>
        <w:spacing w:line="400" w:lineRule="atLeast"/>
        <w:ind w:hanging="294"/>
        <w:textAlignment w:val="auto"/>
        <w:outlineLvl w:val="9"/>
        <w:rPr>
          <w:rFonts w:hint="eastAsia" w:ascii="仿宋" w:hAnsi="仿宋" w:eastAsia="仿宋" w:cs="仿宋"/>
          <w:sz w:val="24"/>
          <w:szCs w:val="24"/>
        </w:rPr>
      </w:pPr>
      <w:bookmarkStart w:id="5" w:name="_Toc138761303"/>
      <w:r>
        <w:rPr>
          <w:rFonts w:hint="eastAsia" w:ascii="仿宋" w:hAnsi="仿宋" w:eastAsia="仿宋" w:cs="仿宋"/>
          <w:sz w:val="24"/>
          <w:szCs w:val="24"/>
        </w:rPr>
        <w:t>定向监测</w:t>
      </w:r>
      <w:bookmarkEnd w:id="5"/>
    </w:p>
    <w:p w14:paraId="4B24F49C">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rPr>
      </w:pPr>
      <w:r>
        <w:rPr>
          <w:rFonts w:hint="eastAsia" w:ascii="仿宋" w:hAnsi="仿宋" w:eastAsia="仿宋" w:cs="仿宋"/>
          <w:sz w:val="24"/>
          <w:szCs w:val="24"/>
        </w:rPr>
        <w:t>可对重点人物、重点网站及重点媒体进行定向监测，实时掌握相关动态，利用大数据技术做到监测全面、推送及时、精准分析，第一时间发现网上涉属地或自身的舆情热点事件、敏感信息和突发事件。</w:t>
      </w:r>
    </w:p>
    <w:p w14:paraId="4D1189FF">
      <w:pPr>
        <w:pageBreakBefore w:val="0"/>
        <w:numPr>
          <w:ilvl w:val="2"/>
          <w:numId w:val="8"/>
        </w:numPr>
        <w:kinsoku/>
        <w:wordWrap/>
        <w:overflowPunct/>
        <w:topLinePunct w:val="0"/>
        <w:autoSpaceDE/>
        <w:autoSpaceDN/>
        <w:bidi w:val="0"/>
        <w:adjustRightInd/>
        <w:snapToGrid/>
        <w:spacing w:line="400" w:lineRule="atLeast"/>
        <w:ind w:hanging="294"/>
        <w:textAlignment w:val="auto"/>
        <w:outlineLvl w:val="9"/>
        <w:rPr>
          <w:rFonts w:hint="eastAsia" w:ascii="仿宋" w:hAnsi="仿宋" w:eastAsia="仿宋" w:cs="仿宋"/>
          <w:sz w:val="24"/>
          <w:szCs w:val="24"/>
        </w:rPr>
      </w:pPr>
      <w:bookmarkStart w:id="6" w:name="_Toc138761304"/>
      <w:r>
        <w:rPr>
          <w:rFonts w:hint="eastAsia" w:ascii="仿宋" w:hAnsi="仿宋" w:eastAsia="仿宋" w:cs="仿宋"/>
          <w:sz w:val="24"/>
          <w:szCs w:val="24"/>
        </w:rPr>
        <w:t>数据分析处理</w:t>
      </w:r>
      <w:bookmarkEnd w:id="6"/>
    </w:p>
    <w:p w14:paraId="38BA971F">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rPr>
      </w:pPr>
      <w:r>
        <w:rPr>
          <w:rFonts w:hint="eastAsia" w:ascii="仿宋" w:hAnsi="仿宋" w:eastAsia="仿宋" w:cs="仿宋"/>
          <w:sz w:val="24"/>
          <w:szCs w:val="24"/>
        </w:rPr>
        <w:t>对信息的语义分析处理包括正负面识别(情感识别)、噪音处理、地域识别、主体识别(人名/机构识别)、语义识别、自动摘要、观点聚类、画像分析等。</w:t>
      </w:r>
    </w:p>
    <w:p w14:paraId="6F40C901">
      <w:pPr>
        <w:pageBreakBefore w:val="0"/>
        <w:numPr>
          <w:ilvl w:val="1"/>
          <w:numId w:val="8"/>
        </w:numPr>
        <w:kinsoku/>
        <w:wordWrap/>
        <w:overflowPunct/>
        <w:topLinePunct w:val="0"/>
        <w:autoSpaceDE/>
        <w:autoSpaceDN/>
        <w:bidi w:val="0"/>
        <w:adjustRightInd/>
        <w:snapToGrid/>
        <w:spacing w:line="400" w:lineRule="atLeast"/>
        <w:textAlignment w:val="auto"/>
        <w:outlineLvl w:val="9"/>
        <w:rPr>
          <w:rFonts w:hint="eastAsia" w:ascii="仿宋" w:hAnsi="仿宋" w:eastAsia="仿宋" w:cs="仿宋"/>
          <w:sz w:val="24"/>
          <w:szCs w:val="24"/>
        </w:rPr>
      </w:pPr>
      <w:bookmarkStart w:id="7" w:name="_Toc138761305"/>
      <w:r>
        <w:rPr>
          <w:rFonts w:hint="eastAsia" w:ascii="仿宋" w:hAnsi="仿宋" w:eastAsia="仿宋" w:cs="仿宋"/>
          <w:sz w:val="24"/>
          <w:szCs w:val="24"/>
        </w:rPr>
        <w:t>分级分类预警重要信息</w:t>
      </w:r>
      <w:bookmarkEnd w:id="7"/>
    </w:p>
    <w:p w14:paraId="56ED6CC5">
      <w:pPr>
        <w:pageBreakBefore w:val="0"/>
        <w:numPr>
          <w:ilvl w:val="2"/>
          <w:numId w:val="8"/>
        </w:numPr>
        <w:kinsoku/>
        <w:wordWrap/>
        <w:overflowPunct/>
        <w:topLinePunct w:val="0"/>
        <w:autoSpaceDE/>
        <w:autoSpaceDN/>
        <w:bidi w:val="0"/>
        <w:adjustRightInd/>
        <w:snapToGrid/>
        <w:spacing w:line="400" w:lineRule="atLeast"/>
        <w:ind w:hanging="294"/>
        <w:textAlignment w:val="auto"/>
        <w:outlineLvl w:val="9"/>
        <w:rPr>
          <w:rFonts w:hint="eastAsia" w:ascii="仿宋" w:hAnsi="仿宋" w:eastAsia="仿宋" w:cs="仿宋"/>
          <w:sz w:val="24"/>
          <w:szCs w:val="24"/>
        </w:rPr>
      </w:pPr>
      <w:bookmarkStart w:id="8" w:name="_Toc138761306"/>
      <w:r>
        <w:rPr>
          <w:rFonts w:hint="eastAsia" w:ascii="仿宋" w:hAnsi="仿宋" w:eastAsia="仿宋" w:cs="仿宋"/>
          <w:sz w:val="24"/>
          <w:szCs w:val="24"/>
        </w:rPr>
        <w:t>智能预警</w:t>
      </w:r>
      <w:bookmarkEnd w:id="8"/>
    </w:p>
    <w:p w14:paraId="64669C65">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lang w:val="zh-CN" w:eastAsia="zh-CN" w:bidi="en-US"/>
        </w:rPr>
      </w:pPr>
      <w:r>
        <w:rPr>
          <w:rFonts w:hint="eastAsia" w:ascii="仿宋" w:hAnsi="仿宋" w:eastAsia="仿宋" w:cs="仿宋"/>
          <w:sz w:val="24"/>
          <w:szCs w:val="24"/>
        </w:rPr>
        <w:t>发现负面信息后，</w:t>
      </w:r>
      <w:r>
        <w:rPr>
          <w:rFonts w:hint="eastAsia" w:ascii="仿宋" w:hAnsi="仿宋" w:eastAsia="仿宋" w:cs="仿宋"/>
          <w:sz w:val="24"/>
          <w:szCs w:val="24"/>
          <w:lang w:val="en-US" w:eastAsia="zh-CN"/>
        </w:rPr>
        <w:t>识别</w:t>
      </w:r>
      <w:r>
        <w:rPr>
          <w:rFonts w:hint="eastAsia" w:ascii="仿宋" w:hAnsi="仿宋" w:eastAsia="仿宋" w:cs="仿宋"/>
          <w:sz w:val="24"/>
          <w:szCs w:val="24"/>
        </w:rPr>
        <w:t>信息是否存在危险性，当出现高危信息后，如“着火”、“涉枪”等信息，会进行自动预警，</w:t>
      </w:r>
      <w:r>
        <w:rPr>
          <w:rFonts w:hint="eastAsia" w:ascii="仿宋" w:hAnsi="仿宋" w:eastAsia="仿宋" w:cs="仿宋"/>
          <w:sz w:val="24"/>
          <w:szCs w:val="24"/>
          <w:lang w:val="zh-CN" w:bidi="en-US"/>
        </w:rPr>
        <w:t>可根据不同场景设置不同方式的预警类型，从公共预警、专题自定义预警、手动预警到人工预警，</w:t>
      </w:r>
      <w:r>
        <w:rPr>
          <w:rFonts w:hint="eastAsia" w:ascii="仿宋" w:hAnsi="仿宋" w:eastAsia="仿宋" w:cs="仿宋"/>
          <w:sz w:val="24"/>
          <w:szCs w:val="24"/>
          <w:lang w:bidi="en-US"/>
        </w:rPr>
        <w:t>全方位无死角对重要风险进行预警</w:t>
      </w:r>
      <w:r>
        <w:rPr>
          <w:rFonts w:hint="eastAsia" w:ascii="仿宋" w:hAnsi="仿宋" w:eastAsia="仿宋" w:cs="仿宋"/>
          <w:sz w:val="24"/>
          <w:szCs w:val="24"/>
          <w:lang w:eastAsia="zh-CN" w:bidi="en-US"/>
        </w:rPr>
        <w:t>。</w:t>
      </w:r>
    </w:p>
    <w:p w14:paraId="0E4DABC3">
      <w:pPr>
        <w:pageBreakBefore w:val="0"/>
        <w:numPr>
          <w:ilvl w:val="2"/>
          <w:numId w:val="8"/>
        </w:numPr>
        <w:kinsoku/>
        <w:wordWrap/>
        <w:overflowPunct/>
        <w:topLinePunct w:val="0"/>
        <w:autoSpaceDE/>
        <w:autoSpaceDN/>
        <w:bidi w:val="0"/>
        <w:adjustRightInd/>
        <w:snapToGrid/>
        <w:spacing w:line="400" w:lineRule="atLeast"/>
        <w:ind w:hanging="294"/>
        <w:textAlignment w:val="auto"/>
        <w:outlineLvl w:val="9"/>
        <w:rPr>
          <w:rFonts w:hint="eastAsia" w:ascii="仿宋" w:hAnsi="仿宋" w:eastAsia="仿宋" w:cs="仿宋"/>
          <w:sz w:val="24"/>
          <w:szCs w:val="24"/>
        </w:rPr>
      </w:pPr>
      <w:bookmarkStart w:id="9" w:name="_Toc138761307"/>
      <w:r>
        <w:rPr>
          <w:rFonts w:hint="eastAsia" w:ascii="仿宋" w:hAnsi="仿宋" w:eastAsia="仿宋" w:cs="仿宋"/>
          <w:sz w:val="24"/>
          <w:szCs w:val="24"/>
        </w:rPr>
        <w:t>榜单预警</w:t>
      </w:r>
      <w:bookmarkEnd w:id="9"/>
    </w:p>
    <w:p w14:paraId="5DE4F775">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rPr>
      </w:pPr>
      <w:r>
        <w:rPr>
          <w:rFonts w:hint="eastAsia" w:ascii="仿宋" w:hAnsi="仿宋" w:eastAsia="仿宋" w:cs="仿宋"/>
          <w:sz w:val="24"/>
          <w:szCs w:val="24"/>
        </w:rPr>
        <w:t>实现对新浪微博、今日头条、抖音、快手、知乎、bilibili、百度、百度贴吧等8大主流平台榜单的监测，当客户关注的属地信息出现在榜单上，系统第一时间在PC端、公众号、微信群预警提醒。</w:t>
      </w:r>
    </w:p>
    <w:p w14:paraId="74EE487E">
      <w:pPr>
        <w:pageBreakBefore w:val="0"/>
        <w:numPr>
          <w:ilvl w:val="2"/>
          <w:numId w:val="8"/>
        </w:numPr>
        <w:kinsoku/>
        <w:wordWrap/>
        <w:overflowPunct/>
        <w:topLinePunct w:val="0"/>
        <w:autoSpaceDE/>
        <w:autoSpaceDN/>
        <w:bidi w:val="0"/>
        <w:adjustRightInd/>
        <w:snapToGrid/>
        <w:spacing w:line="400" w:lineRule="atLeast"/>
        <w:ind w:hanging="294"/>
        <w:textAlignment w:val="auto"/>
        <w:outlineLvl w:val="9"/>
        <w:rPr>
          <w:rFonts w:hint="eastAsia" w:ascii="仿宋" w:hAnsi="仿宋" w:eastAsia="仿宋" w:cs="仿宋"/>
          <w:sz w:val="24"/>
          <w:szCs w:val="24"/>
        </w:rPr>
      </w:pPr>
      <w:bookmarkStart w:id="10" w:name="_Toc138761308"/>
      <w:r>
        <w:rPr>
          <w:rFonts w:hint="eastAsia" w:ascii="仿宋" w:hAnsi="仿宋" w:eastAsia="仿宋" w:cs="仿宋"/>
          <w:sz w:val="24"/>
          <w:szCs w:val="24"/>
        </w:rPr>
        <w:t>预警分级</w:t>
      </w:r>
      <w:bookmarkEnd w:id="10"/>
    </w:p>
    <w:p w14:paraId="3C7E8D57">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rPr>
      </w:pPr>
      <w:r>
        <w:rPr>
          <w:rFonts w:hint="eastAsia" w:ascii="仿宋" w:hAnsi="仿宋" w:eastAsia="仿宋" w:cs="仿宋"/>
          <w:sz w:val="24"/>
          <w:szCs w:val="24"/>
        </w:rPr>
        <w:t>按照简单明确的数据指标判断预警信息的级别。系统支持对pc、app、微信公众号、群中的公共预警、自定义预警、人工预警信息判断预警的级别。</w:t>
      </w:r>
    </w:p>
    <w:p w14:paraId="468AA9D7">
      <w:pPr>
        <w:pageBreakBefore w:val="0"/>
        <w:numPr>
          <w:ilvl w:val="2"/>
          <w:numId w:val="8"/>
        </w:numPr>
        <w:kinsoku/>
        <w:wordWrap/>
        <w:overflowPunct/>
        <w:topLinePunct w:val="0"/>
        <w:autoSpaceDE/>
        <w:autoSpaceDN/>
        <w:bidi w:val="0"/>
        <w:adjustRightInd/>
        <w:snapToGrid/>
        <w:spacing w:line="400" w:lineRule="atLeast"/>
        <w:ind w:hanging="294"/>
        <w:textAlignment w:val="auto"/>
        <w:outlineLvl w:val="9"/>
        <w:rPr>
          <w:rFonts w:hint="eastAsia" w:ascii="仿宋" w:hAnsi="仿宋" w:eastAsia="仿宋" w:cs="仿宋"/>
          <w:sz w:val="24"/>
          <w:szCs w:val="24"/>
        </w:rPr>
      </w:pPr>
      <w:bookmarkStart w:id="11" w:name="_Toc138761309"/>
      <w:r>
        <w:rPr>
          <w:rFonts w:hint="eastAsia" w:ascii="仿宋" w:hAnsi="仿宋" w:eastAsia="仿宋" w:cs="仿宋"/>
          <w:sz w:val="24"/>
          <w:szCs w:val="24"/>
        </w:rPr>
        <w:t>精准舆情推送服务</w:t>
      </w:r>
      <w:bookmarkEnd w:id="11"/>
    </w:p>
    <w:p w14:paraId="3DBA2B69">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lang w:eastAsia="zh-Hans" w:bidi="ar"/>
        </w:rPr>
      </w:pPr>
      <w:r>
        <w:rPr>
          <w:rFonts w:hint="eastAsia" w:ascii="仿宋" w:hAnsi="仿宋" w:eastAsia="仿宋" w:cs="仿宋"/>
          <w:sz w:val="24"/>
          <w:szCs w:val="24"/>
          <w:lang w:eastAsia="zh-Hans" w:bidi="ar"/>
        </w:rPr>
        <w:t>在机器全自动语义识别系统对信息进行初步筛选的基础上，进行人工审核，实现精准化信息预警、推送机制，随时上报最新信息和研判意见。</w:t>
      </w:r>
    </w:p>
    <w:p w14:paraId="20BAD9C4">
      <w:pPr>
        <w:pageBreakBefore w:val="0"/>
        <w:numPr>
          <w:ilvl w:val="1"/>
          <w:numId w:val="8"/>
        </w:numPr>
        <w:kinsoku/>
        <w:wordWrap/>
        <w:overflowPunct/>
        <w:topLinePunct w:val="0"/>
        <w:autoSpaceDE/>
        <w:autoSpaceDN/>
        <w:bidi w:val="0"/>
        <w:adjustRightInd/>
        <w:snapToGrid/>
        <w:spacing w:line="400" w:lineRule="atLeast"/>
        <w:textAlignment w:val="auto"/>
        <w:outlineLvl w:val="9"/>
        <w:rPr>
          <w:rFonts w:hint="eastAsia" w:ascii="仿宋" w:hAnsi="仿宋" w:eastAsia="仿宋" w:cs="仿宋"/>
          <w:sz w:val="24"/>
          <w:szCs w:val="24"/>
        </w:rPr>
      </w:pPr>
      <w:bookmarkStart w:id="12" w:name="_Toc138761310"/>
      <w:r>
        <w:rPr>
          <w:rFonts w:hint="eastAsia" w:ascii="仿宋" w:hAnsi="仿宋" w:eastAsia="仿宋" w:cs="仿宋"/>
          <w:sz w:val="24"/>
          <w:szCs w:val="24"/>
        </w:rPr>
        <w:t>报告分析</w:t>
      </w:r>
      <w:bookmarkEnd w:id="12"/>
    </w:p>
    <w:p w14:paraId="70B65F1E">
      <w:pPr>
        <w:pageBreakBefore w:val="0"/>
        <w:numPr>
          <w:ilvl w:val="2"/>
          <w:numId w:val="8"/>
        </w:numPr>
        <w:kinsoku/>
        <w:wordWrap/>
        <w:overflowPunct/>
        <w:topLinePunct w:val="0"/>
        <w:autoSpaceDE/>
        <w:autoSpaceDN/>
        <w:bidi w:val="0"/>
        <w:adjustRightInd/>
        <w:snapToGrid/>
        <w:spacing w:line="400" w:lineRule="atLeast"/>
        <w:ind w:hanging="294"/>
        <w:textAlignment w:val="auto"/>
        <w:outlineLvl w:val="9"/>
        <w:rPr>
          <w:rFonts w:hint="eastAsia" w:ascii="仿宋" w:hAnsi="仿宋" w:eastAsia="仿宋" w:cs="仿宋"/>
          <w:sz w:val="24"/>
          <w:szCs w:val="24"/>
        </w:rPr>
      </w:pPr>
      <w:bookmarkStart w:id="13" w:name="_Toc138761311"/>
      <w:r>
        <w:rPr>
          <w:rFonts w:hint="eastAsia" w:ascii="仿宋" w:hAnsi="仿宋" w:eastAsia="仿宋" w:cs="仿宋"/>
          <w:sz w:val="24"/>
          <w:szCs w:val="24"/>
        </w:rPr>
        <w:t>阶段性成果报告</w:t>
      </w:r>
      <w:bookmarkEnd w:id="13"/>
    </w:p>
    <w:p w14:paraId="5351D51A">
      <w:pPr>
        <w:pageBreakBefore w:val="0"/>
        <w:numPr>
          <w:ilvl w:val="0"/>
          <w:numId w:val="10"/>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rPr>
      </w:pPr>
      <w:r>
        <w:rPr>
          <w:rFonts w:hint="eastAsia" w:ascii="仿宋" w:hAnsi="仿宋" w:eastAsia="仿宋" w:cs="仿宋"/>
          <w:sz w:val="24"/>
          <w:szCs w:val="24"/>
        </w:rPr>
        <w:t>提供智能化报告功能，根据舆情分析生成图表及文字报告，用于浏览信息的具体内容，做出最佳决策。系统可自动生成舆情简报、舆情日报、舆情周报、舆情月报、年报等，并提供多种简报模板供客户选择，同时支持客户按照工作要求，定制舆情报告样式、内容框架等。</w:t>
      </w:r>
    </w:p>
    <w:p w14:paraId="58655B21">
      <w:pPr>
        <w:pageBreakBefore w:val="0"/>
        <w:numPr>
          <w:ilvl w:val="0"/>
          <w:numId w:val="10"/>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rPr>
      </w:pPr>
      <w:r>
        <w:rPr>
          <w:rFonts w:hint="eastAsia" w:ascii="仿宋" w:hAnsi="仿宋" w:eastAsia="仿宋" w:cs="仿宋"/>
          <w:sz w:val="24"/>
          <w:szCs w:val="24"/>
        </w:rPr>
        <w:t>支持客户自定义调整报告模板内容，用于生成客户定制化报告。模板为Word或Excel格式。</w:t>
      </w:r>
    </w:p>
    <w:p w14:paraId="75130CA8">
      <w:pPr>
        <w:pageBreakBefore w:val="0"/>
        <w:numPr>
          <w:ilvl w:val="0"/>
          <w:numId w:val="10"/>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rPr>
        <w:t>提供由专业的舆情分析师提供舆情月报、半年报、年报及专项事件报告</w:t>
      </w:r>
      <w:r>
        <w:rPr>
          <w:rFonts w:hint="eastAsia" w:ascii="仿宋" w:hAnsi="仿宋" w:eastAsia="仿宋" w:cs="仿宋"/>
          <w:sz w:val="24"/>
          <w:szCs w:val="24"/>
          <w:lang w:eastAsia="zh-CN"/>
        </w:rPr>
        <w:t>。</w:t>
      </w:r>
    </w:p>
    <w:p w14:paraId="2CF35AAD">
      <w:pPr>
        <w:pageBreakBefore w:val="0"/>
        <w:numPr>
          <w:ilvl w:val="2"/>
          <w:numId w:val="8"/>
        </w:numPr>
        <w:kinsoku/>
        <w:wordWrap/>
        <w:overflowPunct/>
        <w:topLinePunct w:val="0"/>
        <w:autoSpaceDE/>
        <w:autoSpaceDN/>
        <w:bidi w:val="0"/>
        <w:adjustRightInd/>
        <w:snapToGrid/>
        <w:spacing w:line="400" w:lineRule="atLeast"/>
        <w:ind w:hanging="294"/>
        <w:textAlignment w:val="auto"/>
        <w:outlineLvl w:val="9"/>
        <w:rPr>
          <w:rFonts w:hint="eastAsia" w:ascii="仿宋" w:hAnsi="仿宋" w:eastAsia="仿宋" w:cs="仿宋"/>
          <w:sz w:val="24"/>
          <w:szCs w:val="24"/>
        </w:rPr>
      </w:pPr>
      <w:bookmarkStart w:id="14" w:name="_Toc138761312"/>
      <w:r>
        <w:rPr>
          <w:rFonts w:hint="eastAsia" w:ascii="仿宋" w:hAnsi="仿宋" w:eastAsia="仿宋" w:cs="仿宋"/>
          <w:sz w:val="24"/>
          <w:szCs w:val="24"/>
        </w:rPr>
        <w:t>突发事件快速响应</w:t>
      </w:r>
      <w:bookmarkEnd w:id="14"/>
    </w:p>
    <w:p w14:paraId="564FE3E0">
      <w:pPr>
        <w:pageBreakBefore w:val="0"/>
        <w:numPr>
          <w:ilvl w:val="0"/>
          <w:numId w:val="11"/>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rPr>
      </w:pPr>
      <w:r>
        <w:rPr>
          <w:rFonts w:hint="eastAsia" w:ascii="仿宋" w:hAnsi="仿宋" w:eastAsia="仿宋" w:cs="仿宋"/>
          <w:sz w:val="24"/>
          <w:szCs w:val="24"/>
        </w:rPr>
        <w:t>对于热点事件、突发事件，通过在系统中设置关键词组和分析时间，系统自动采集关于该事件的信息并进行智能分析。此模块可以查看全部的媒体报道及舆情口碑情况，也可通过简单编辑或是直接一键导出相关事件的报告。</w:t>
      </w:r>
    </w:p>
    <w:p w14:paraId="3FB6044E">
      <w:pPr>
        <w:pageBreakBefore w:val="0"/>
        <w:numPr>
          <w:ilvl w:val="0"/>
          <w:numId w:val="11"/>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rPr>
      </w:pPr>
      <w:r>
        <w:rPr>
          <w:rFonts w:hint="eastAsia" w:ascii="仿宋" w:hAnsi="仿宋" w:eastAsia="仿宋" w:cs="仿宋"/>
          <w:sz w:val="24"/>
          <w:szCs w:val="24"/>
        </w:rPr>
        <w:t>系统支持自动生成舆情分析报告，且支持以word文档形式下载到本地。</w:t>
      </w:r>
    </w:p>
    <w:p w14:paraId="38218C83">
      <w:pPr>
        <w:pageBreakBefore w:val="0"/>
        <w:numPr>
          <w:ilvl w:val="2"/>
          <w:numId w:val="8"/>
        </w:numPr>
        <w:kinsoku/>
        <w:wordWrap/>
        <w:overflowPunct/>
        <w:topLinePunct w:val="0"/>
        <w:autoSpaceDE/>
        <w:autoSpaceDN/>
        <w:bidi w:val="0"/>
        <w:adjustRightInd/>
        <w:snapToGrid/>
        <w:spacing w:line="400" w:lineRule="atLeast"/>
        <w:ind w:hanging="294"/>
        <w:textAlignment w:val="auto"/>
        <w:outlineLvl w:val="9"/>
        <w:rPr>
          <w:rFonts w:hint="eastAsia" w:ascii="仿宋" w:hAnsi="仿宋" w:eastAsia="仿宋" w:cs="仿宋"/>
          <w:sz w:val="24"/>
          <w:szCs w:val="24"/>
        </w:rPr>
      </w:pPr>
      <w:bookmarkStart w:id="15" w:name="_Toc138761313"/>
      <w:r>
        <w:rPr>
          <w:rFonts w:hint="eastAsia" w:ascii="仿宋" w:hAnsi="仿宋" w:eastAsia="仿宋" w:cs="仿宋"/>
          <w:sz w:val="24"/>
          <w:szCs w:val="24"/>
        </w:rPr>
        <w:t>舆情案例库</w:t>
      </w:r>
      <w:bookmarkEnd w:id="15"/>
    </w:p>
    <w:p w14:paraId="3038458A">
      <w:pPr>
        <w:pageBreakBefore w:val="0"/>
        <w:numPr>
          <w:ilvl w:val="0"/>
          <w:numId w:val="12"/>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rPr>
      </w:pPr>
      <w:r>
        <w:rPr>
          <w:rFonts w:hint="eastAsia" w:ascii="仿宋" w:hAnsi="仿宋" w:eastAsia="仿宋" w:cs="仿宋"/>
          <w:sz w:val="24"/>
          <w:szCs w:val="24"/>
        </w:rPr>
        <w:t>可针对当下热点新闻和自定义事件做出详细的事件分析。通过对全网媒体信息来源，全面、持续的监测、采集网络数据，动态展示信息的变化情况。分析维度包含但不限于事件概括、首发媒体、事件脉络、发展趋势、调性分析、关键词云、微博分析等，提供事件全部报道的数据查询服务。</w:t>
      </w:r>
    </w:p>
    <w:p w14:paraId="15628AB8">
      <w:pPr>
        <w:pageBreakBefore w:val="0"/>
        <w:numPr>
          <w:ilvl w:val="0"/>
          <w:numId w:val="12"/>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rPr>
      </w:pPr>
      <w:r>
        <w:rPr>
          <w:rFonts w:hint="eastAsia" w:ascii="仿宋" w:hAnsi="仿宋" w:eastAsia="仿宋" w:cs="仿宋"/>
          <w:sz w:val="24"/>
          <w:szCs w:val="24"/>
        </w:rPr>
        <w:t>支持根据某些热点事件生成专项报告，并通过专家视角对整个事件进行梳理分析。</w:t>
      </w:r>
    </w:p>
    <w:p w14:paraId="42809F6B">
      <w:pPr>
        <w:pageBreakBefore w:val="0"/>
        <w:numPr>
          <w:ilvl w:val="2"/>
          <w:numId w:val="8"/>
        </w:numPr>
        <w:kinsoku/>
        <w:wordWrap/>
        <w:overflowPunct/>
        <w:topLinePunct w:val="0"/>
        <w:autoSpaceDE/>
        <w:autoSpaceDN/>
        <w:bidi w:val="0"/>
        <w:adjustRightInd/>
        <w:snapToGrid/>
        <w:spacing w:line="400" w:lineRule="atLeast"/>
        <w:ind w:hanging="294"/>
        <w:textAlignment w:val="auto"/>
        <w:outlineLvl w:val="9"/>
        <w:rPr>
          <w:rFonts w:hint="eastAsia" w:ascii="仿宋" w:hAnsi="仿宋" w:eastAsia="仿宋" w:cs="仿宋"/>
          <w:sz w:val="24"/>
          <w:szCs w:val="24"/>
        </w:rPr>
      </w:pPr>
      <w:bookmarkStart w:id="16" w:name="_Toc138761314"/>
      <w:r>
        <w:rPr>
          <w:rFonts w:hint="eastAsia" w:ascii="仿宋" w:hAnsi="仿宋" w:eastAsia="仿宋" w:cs="仿宋"/>
          <w:sz w:val="24"/>
          <w:szCs w:val="24"/>
        </w:rPr>
        <w:t>重大事件专家级研判报告</w:t>
      </w:r>
      <w:bookmarkEnd w:id="16"/>
    </w:p>
    <w:p w14:paraId="629E1698">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lang w:bidi="ar"/>
        </w:rPr>
      </w:pPr>
      <w:r>
        <w:rPr>
          <w:rFonts w:hint="eastAsia" w:ascii="仿宋" w:hAnsi="仿宋" w:eastAsia="仿宋" w:cs="仿宋"/>
          <w:sz w:val="24"/>
          <w:szCs w:val="24"/>
          <w:lang w:bidi="ar"/>
        </w:rPr>
        <w:t>报告包是针对各种应用场景，提供不同类型的报告，在突发事件发生后迅速提供快报、事件专报等专业的总结报告。</w:t>
      </w:r>
    </w:p>
    <w:p w14:paraId="4E1199FA">
      <w:pPr>
        <w:pStyle w:val="25"/>
        <w:pageBreakBefore w:val="0"/>
        <w:numPr>
          <w:ilvl w:val="0"/>
          <w:numId w:val="13"/>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lang w:eastAsia="zh-Hans" w:bidi="ar"/>
        </w:rPr>
      </w:pPr>
      <w:r>
        <w:rPr>
          <w:rFonts w:hint="eastAsia" w:ascii="仿宋" w:hAnsi="仿宋" w:eastAsia="仿宋" w:cs="仿宋"/>
          <w:b/>
          <w:bCs/>
          <w:sz w:val="24"/>
          <w:szCs w:val="24"/>
          <w:lang w:eastAsia="zh-Hans" w:bidi="ar"/>
        </w:rPr>
        <w:t>半月报</w:t>
      </w:r>
    </w:p>
    <w:p w14:paraId="78165C38">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lang w:eastAsia="zh-Hans" w:bidi="ar"/>
        </w:rPr>
      </w:pPr>
      <w:r>
        <w:rPr>
          <w:rFonts w:hint="eastAsia" w:ascii="仿宋" w:hAnsi="仿宋" w:eastAsia="仿宋" w:cs="仿宋"/>
          <w:sz w:val="24"/>
          <w:szCs w:val="24"/>
        </w:rPr>
        <w:t>对本单位两周所产生舆情信息的舆情趋势、舆情倾向、主要传播平台等做数据分析，对本月涉本单位重点舆情事件做重点分析、研判，并对当月舆情态势做综合研判。</w:t>
      </w:r>
    </w:p>
    <w:p w14:paraId="5E261312">
      <w:pPr>
        <w:pStyle w:val="25"/>
        <w:pageBreakBefore w:val="0"/>
        <w:numPr>
          <w:ilvl w:val="0"/>
          <w:numId w:val="13"/>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lang w:eastAsia="zh-Hans" w:bidi="ar"/>
        </w:rPr>
      </w:pPr>
      <w:r>
        <w:rPr>
          <w:rFonts w:hint="eastAsia" w:ascii="仿宋" w:hAnsi="仿宋" w:eastAsia="仿宋" w:cs="仿宋"/>
          <w:b/>
          <w:bCs/>
          <w:sz w:val="24"/>
          <w:szCs w:val="24"/>
          <w:lang w:eastAsia="zh-Hans" w:bidi="ar"/>
        </w:rPr>
        <w:t>事件专报</w:t>
      </w:r>
    </w:p>
    <w:p w14:paraId="7B037683">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lang w:eastAsia="zh-CN" w:bidi="ar"/>
        </w:rPr>
      </w:pPr>
      <w:r>
        <w:rPr>
          <w:rFonts w:hint="eastAsia" w:ascii="仿宋" w:hAnsi="仿宋" w:eastAsia="仿宋" w:cs="仿宋"/>
          <w:sz w:val="24"/>
          <w:szCs w:val="24"/>
          <w:lang w:bidi="ar"/>
        </w:rPr>
        <w:t>在突发事件形成网络舆情后，通过分析该周期内舆情的传播走势、传播渠道分布、传播主体情况，总结出该周期内舆情的传播特征，网络情绪反应等要点；并给出处理建议</w:t>
      </w:r>
      <w:r>
        <w:rPr>
          <w:rFonts w:hint="eastAsia" w:ascii="仿宋" w:hAnsi="仿宋" w:eastAsia="仿宋" w:cs="仿宋"/>
          <w:sz w:val="24"/>
          <w:szCs w:val="24"/>
          <w:lang w:eastAsia="zh-CN" w:bidi="ar"/>
        </w:rPr>
        <w:t>。</w:t>
      </w:r>
    </w:p>
    <w:p w14:paraId="236AED8C">
      <w:pPr>
        <w:pStyle w:val="25"/>
        <w:pageBreakBefore w:val="0"/>
        <w:numPr>
          <w:ilvl w:val="0"/>
          <w:numId w:val="13"/>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lang w:eastAsia="zh-Hans" w:bidi="ar"/>
        </w:rPr>
      </w:pPr>
      <w:r>
        <w:rPr>
          <w:rFonts w:hint="eastAsia" w:ascii="仿宋" w:hAnsi="仿宋" w:eastAsia="仿宋" w:cs="仿宋"/>
          <w:b/>
          <w:bCs/>
          <w:sz w:val="24"/>
          <w:szCs w:val="24"/>
          <w:lang w:bidi="ar"/>
        </w:rPr>
        <w:t>事件</w:t>
      </w:r>
      <w:r>
        <w:rPr>
          <w:rFonts w:hint="eastAsia" w:ascii="仿宋" w:hAnsi="仿宋" w:eastAsia="仿宋" w:cs="仿宋"/>
          <w:b/>
          <w:bCs/>
          <w:sz w:val="24"/>
          <w:szCs w:val="24"/>
          <w:lang w:eastAsia="zh-Hans" w:bidi="ar"/>
        </w:rPr>
        <w:t>快报</w:t>
      </w:r>
    </w:p>
    <w:p w14:paraId="74F1E620">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rPr>
      </w:pPr>
      <w:r>
        <w:rPr>
          <w:rFonts w:hint="eastAsia" w:ascii="仿宋" w:hAnsi="仿宋" w:eastAsia="仿宋" w:cs="仿宋"/>
          <w:sz w:val="24"/>
          <w:szCs w:val="24"/>
          <w:lang w:bidi="ar"/>
        </w:rPr>
        <w:t>在突发事件形成网络舆情后迅速提供信息汇总分析，通过总结网民声音及媒体态度，判断当前舆情态势，为客户单位快速决策提供参考依据。</w:t>
      </w:r>
    </w:p>
    <w:p w14:paraId="3CDC7D7D">
      <w:pPr>
        <w:pageBreakBefore w:val="0"/>
        <w:numPr>
          <w:ilvl w:val="1"/>
          <w:numId w:val="8"/>
        </w:numPr>
        <w:kinsoku/>
        <w:wordWrap/>
        <w:overflowPunct/>
        <w:topLinePunct w:val="0"/>
        <w:autoSpaceDE/>
        <w:autoSpaceDN/>
        <w:bidi w:val="0"/>
        <w:adjustRightInd/>
        <w:snapToGrid/>
        <w:spacing w:line="400" w:lineRule="atLeast"/>
        <w:textAlignment w:val="auto"/>
        <w:outlineLvl w:val="9"/>
        <w:rPr>
          <w:rFonts w:hint="eastAsia" w:ascii="仿宋" w:hAnsi="仿宋" w:eastAsia="仿宋" w:cs="仿宋"/>
          <w:sz w:val="24"/>
          <w:szCs w:val="24"/>
        </w:rPr>
      </w:pPr>
      <w:bookmarkStart w:id="17" w:name="_Toc138761315"/>
      <w:r>
        <w:rPr>
          <w:rFonts w:hint="eastAsia" w:ascii="仿宋" w:hAnsi="仿宋" w:eastAsia="仿宋" w:cs="仿宋"/>
          <w:sz w:val="24"/>
          <w:szCs w:val="24"/>
        </w:rPr>
        <w:t>数据库全网信息检索</w:t>
      </w:r>
      <w:bookmarkEnd w:id="17"/>
    </w:p>
    <w:p w14:paraId="3526A31B">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rPr>
      </w:pPr>
      <w:r>
        <w:rPr>
          <w:rFonts w:hint="eastAsia" w:ascii="仿宋" w:hAnsi="仿宋" w:eastAsia="仿宋" w:cs="仿宋"/>
          <w:sz w:val="24"/>
          <w:szCs w:val="24"/>
        </w:rPr>
        <w:t>具备全网搜索功能，对于舆情高发区域，尤其微博、移动客户端（APP）和移动阅读浏览器，具备针对性信息搜集功能。实现对国内重大新闻、论坛、微博、博客进行全面监测，并可根据关键词筛选出有效信息。支持</w:t>
      </w:r>
      <w:r>
        <w:rPr>
          <w:rFonts w:hint="eastAsia" w:ascii="仿宋" w:hAnsi="仿宋" w:eastAsia="仿宋" w:cs="仿宋"/>
          <w:color w:val="000000"/>
          <w:sz w:val="24"/>
          <w:szCs w:val="24"/>
        </w:rPr>
        <w:t>大数据中心站内搜索</w:t>
      </w:r>
      <w:r>
        <w:rPr>
          <w:rFonts w:hint="eastAsia" w:ascii="仿宋" w:hAnsi="仿宋" w:eastAsia="仿宋" w:cs="仿宋"/>
          <w:sz w:val="24"/>
          <w:szCs w:val="24"/>
        </w:rPr>
        <w:t>、全网数据搜索和微博数据搜索三种搜索方式。且支持按照媒体类型、倾向性、时间、文章状态、文章类型等条件进行二次搜索和筛选，并支持搜索结果转为专题和事件。</w:t>
      </w:r>
    </w:p>
    <w:p w14:paraId="1F70A335">
      <w:pPr>
        <w:pageBreakBefore w:val="0"/>
        <w:numPr>
          <w:ilvl w:val="1"/>
          <w:numId w:val="8"/>
        </w:numPr>
        <w:kinsoku/>
        <w:wordWrap/>
        <w:overflowPunct/>
        <w:topLinePunct w:val="0"/>
        <w:autoSpaceDE/>
        <w:autoSpaceDN/>
        <w:bidi w:val="0"/>
        <w:adjustRightInd/>
        <w:snapToGrid/>
        <w:spacing w:line="400" w:lineRule="atLeast"/>
        <w:textAlignment w:val="auto"/>
        <w:outlineLvl w:val="9"/>
        <w:rPr>
          <w:rFonts w:hint="eastAsia" w:ascii="仿宋" w:hAnsi="仿宋" w:eastAsia="仿宋" w:cs="仿宋"/>
          <w:sz w:val="24"/>
          <w:szCs w:val="24"/>
        </w:rPr>
      </w:pPr>
      <w:bookmarkStart w:id="18" w:name="_Toc138761316"/>
      <w:r>
        <w:rPr>
          <w:rFonts w:hint="eastAsia" w:ascii="仿宋" w:hAnsi="仿宋" w:eastAsia="仿宋" w:cs="仿宋"/>
          <w:sz w:val="24"/>
          <w:szCs w:val="24"/>
        </w:rPr>
        <w:t>短视频监测</w:t>
      </w:r>
      <w:bookmarkEnd w:id="18"/>
    </w:p>
    <w:p w14:paraId="785662B2">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rPr>
      </w:pPr>
      <w:r>
        <w:rPr>
          <w:rFonts w:hint="eastAsia" w:ascii="仿宋" w:hAnsi="仿宋" w:eastAsia="仿宋" w:cs="仿宋"/>
          <w:sz w:val="24"/>
          <w:szCs w:val="24"/>
        </w:rPr>
        <w:t>支持对主流视频平台的短视频内容标题、描述、文本评论、点赞数量、转发量等进行实时监测，帮助客户第一时间发现短视频舆情，掌握舆情动态防止舆情危机。其中包括属地监测、短视频AI识别、短视频溯源、视频作者画像、短视频传播分析等能力。支持指定短视频作者的定向监测，并提供智能联想。</w:t>
      </w:r>
    </w:p>
    <w:p w14:paraId="1CC1BC5F">
      <w:pPr>
        <w:pageBreakBefore w:val="0"/>
        <w:numPr>
          <w:ilvl w:val="2"/>
          <w:numId w:val="8"/>
        </w:numPr>
        <w:kinsoku/>
        <w:wordWrap/>
        <w:overflowPunct/>
        <w:topLinePunct w:val="0"/>
        <w:autoSpaceDE/>
        <w:autoSpaceDN/>
        <w:bidi w:val="0"/>
        <w:adjustRightInd/>
        <w:snapToGrid/>
        <w:spacing w:line="400" w:lineRule="atLeast"/>
        <w:ind w:hanging="294"/>
        <w:textAlignment w:val="auto"/>
        <w:outlineLvl w:val="9"/>
        <w:rPr>
          <w:rFonts w:hint="eastAsia" w:ascii="仿宋" w:hAnsi="仿宋" w:eastAsia="仿宋" w:cs="仿宋"/>
          <w:sz w:val="24"/>
          <w:szCs w:val="24"/>
        </w:rPr>
      </w:pPr>
      <w:bookmarkStart w:id="19" w:name="_Toc138761317"/>
      <w:r>
        <w:rPr>
          <w:rFonts w:hint="eastAsia" w:ascii="仿宋" w:hAnsi="仿宋" w:eastAsia="仿宋" w:cs="仿宋"/>
          <w:sz w:val="24"/>
          <w:szCs w:val="24"/>
        </w:rPr>
        <w:t>属地短视频信息监测</w:t>
      </w:r>
      <w:bookmarkEnd w:id="19"/>
    </w:p>
    <w:p w14:paraId="11061106">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rPr>
      </w:pPr>
      <w:r>
        <w:rPr>
          <w:rFonts w:hint="eastAsia" w:ascii="仿宋" w:hAnsi="仿宋" w:eastAsia="仿宋" w:cs="仿宋"/>
          <w:sz w:val="24"/>
          <w:szCs w:val="24"/>
        </w:rPr>
        <w:t>短视频数据及监测、分析能力，支持对16个主流短视频平台数据进行更精准、深入的监测、搜索及分析。</w:t>
      </w:r>
    </w:p>
    <w:p w14:paraId="57B934D1">
      <w:pPr>
        <w:pageBreakBefore w:val="0"/>
        <w:numPr>
          <w:ilvl w:val="0"/>
          <w:numId w:val="14"/>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lang w:bidi="ar"/>
        </w:rPr>
      </w:pPr>
      <w:r>
        <w:rPr>
          <w:rFonts w:hint="eastAsia" w:ascii="仿宋" w:hAnsi="仿宋" w:eastAsia="仿宋" w:cs="仿宋"/>
          <w:b/>
          <w:bCs/>
          <w:sz w:val="24"/>
          <w:szCs w:val="24"/>
          <w:lang w:bidi="ar"/>
        </w:rPr>
        <w:t>视频信息溯源 </w:t>
      </w:r>
      <w:r>
        <w:rPr>
          <w:rFonts w:hint="eastAsia" w:ascii="仿宋" w:hAnsi="仿宋" w:eastAsia="仿宋" w:cs="仿宋"/>
          <w:sz w:val="24"/>
          <w:szCs w:val="24"/>
          <w:lang w:bidi="ar"/>
        </w:rPr>
        <w:t>：支持对全网短视频进行溯源及传播路径分析，定位首发视频。</w:t>
      </w:r>
    </w:p>
    <w:p w14:paraId="49530EDF">
      <w:pPr>
        <w:pageBreakBefore w:val="0"/>
        <w:numPr>
          <w:ilvl w:val="0"/>
          <w:numId w:val="14"/>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rPr>
      </w:pPr>
      <w:r>
        <w:rPr>
          <w:rFonts w:hint="eastAsia" w:ascii="仿宋" w:hAnsi="仿宋" w:eastAsia="仿宋" w:cs="仿宋"/>
          <w:b/>
          <w:bCs/>
          <w:sz w:val="24"/>
          <w:szCs w:val="24"/>
          <w:lang w:bidi="ar"/>
        </w:rPr>
        <w:t>采集速度：</w:t>
      </w:r>
      <w:r>
        <w:rPr>
          <w:rFonts w:hint="eastAsia" w:ascii="仿宋" w:hAnsi="仿宋" w:eastAsia="仿宋" w:cs="仿宋"/>
          <w:sz w:val="24"/>
          <w:szCs w:val="24"/>
          <w:lang w:bidi="ar"/>
        </w:rPr>
        <w:t xml:space="preserve"> 10-30分钟进行重点账号采集，发现速度可达分钟级，7×24小时不间断采集。</w:t>
      </w:r>
    </w:p>
    <w:p w14:paraId="6425159B">
      <w:pPr>
        <w:pageBreakBefore w:val="0"/>
        <w:numPr>
          <w:ilvl w:val="0"/>
          <w:numId w:val="14"/>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lang w:bidi="ar"/>
        </w:rPr>
      </w:pPr>
      <w:r>
        <w:rPr>
          <w:rFonts w:hint="eastAsia" w:ascii="仿宋" w:hAnsi="仿宋" w:eastAsia="仿宋" w:cs="仿宋"/>
          <w:b/>
          <w:bCs/>
          <w:sz w:val="24"/>
          <w:szCs w:val="24"/>
          <w:lang w:bidi="ar"/>
        </w:rPr>
        <w:t>OCR识别：</w:t>
      </w:r>
      <w:r>
        <w:rPr>
          <w:rFonts w:hint="eastAsia" w:ascii="仿宋" w:hAnsi="仿宋" w:eastAsia="仿宋" w:cs="仿宋"/>
          <w:sz w:val="24"/>
          <w:szCs w:val="24"/>
          <w:lang w:bidi="ar"/>
        </w:rPr>
        <w:t>支持短视频OCR识别，如视频字幕、拍照资料、截图资料、街景文字、横幅等，识别准确率在95% 以上。</w:t>
      </w:r>
    </w:p>
    <w:p w14:paraId="4073A106">
      <w:pPr>
        <w:pageBreakBefore w:val="0"/>
        <w:numPr>
          <w:ilvl w:val="0"/>
          <w:numId w:val="14"/>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rPr>
      </w:pPr>
      <w:r>
        <w:rPr>
          <w:rFonts w:hint="eastAsia" w:ascii="仿宋" w:hAnsi="仿宋" w:eastAsia="仿宋" w:cs="仿宋"/>
          <w:b/>
          <w:bCs/>
          <w:sz w:val="24"/>
          <w:szCs w:val="24"/>
          <w:lang w:bidi="ar"/>
        </w:rPr>
        <w:t>监测预警：</w:t>
      </w:r>
      <w:r>
        <w:rPr>
          <w:rFonts w:hint="eastAsia" w:ascii="仿宋" w:hAnsi="仿宋" w:eastAsia="仿宋" w:cs="仿宋"/>
          <w:sz w:val="24"/>
          <w:szCs w:val="24"/>
          <w:lang w:bidi="ar"/>
        </w:rPr>
        <w:t>提供全网主流平台短视频及评论的监测、预警、搜索、分析等服务。支持进行监测预警设置，监测方案中可选择指定媒体来源、倾向性和填写预警词等，将命中预警信息的内容推送微信公众号。</w:t>
      </w:r>
    </w:p>
    <w:p w14:paraId="696F4D0C">
      <w:pPr>
        <w:pageBreakBefore w:val="0"/>
        <w:numPr>
          <w:ilvl w:val="0"/>
          <w:numId w:val="14"/>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lang w:bidi="ar"/>
        </w:rPr>
      </w:pPr>
      <w:r>
        <w:rPr>
          <w:rFonts w:hint="eastAsia" w:ascii="仿宋" w:hAnsi="仿宋" w:eastAsia="仿宋" w:cs="仿宋"/>
          <w:b/>
          <w:bCs/>
          <w:sz w:val="24"/>
          <w:szCs w:val="24"/>
          <w:lang w:bidi="ar"/>
        </w:rPr>
        <w:t>信息源定向监测：</w:t>
      </w:r>
      <w:r>
        <w:rPr>
          <w:rFonts w:hint="eastAsia" w:ascii="仿宋" w:hAnsi="仿宋" w:eastAsia="仿宋" w:cs="仿宋"/>
          <w:sz w:val="24"/>
          <w:szCs w:val="24"/>
          <w:lang w:bidi="ar"/>
        </w:rPr>
        <w:t>根据业务需要，支持指定站点、作者、地域的定向监测。</w:t>
      </w:r>
    </w:p>
    <w:p w14:paraId="0135EC35">
      <w:pPr>
        <w:pageBreakBefore w:val="0"/>
        <w:numPr>
          <w:ilvl w:val="0"/>
          <w:numId w:val="14"/>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lang w:bidi="ar"/>
        </w:rPr>
      </w:pPr>
      <w:r>
        <w:rPr>
          <w:rFonts w:hint="eastAsia" w:ascii="仿宋" w:hAnsi="仿宋" w:eastAsia="仿宋" w:cs="仿宋"/>
          <w:b/>
          <w:bCs/>
          <w:sz w:val="24"/>
          <w:szCs w:val="24"/>
          <w:lang w:bidi="ar"/>
        </w:rPr>
        <w:t>地域识别：</w:t>
      </w:r>
      <w:r>
        <w:rPr>
          <w:rFonts w:hint="eastAsia" w:ascii="仿宋" w:hAnsi="仿宋" w:eastAsia="仿宋" w:cs="仿宋"/>
          <w:sz w:val="24"/>
          <w:szCs w:val="24"/>
          <w:lang w:bidi="ar"/>
        </w:rPr>
        <w:t>支持作者注册地、视频签到地、地域识别（内容提及）、客户IP属地、同城推进信息等地域监测。</w:t>
      </w:r>
      <w:r>
        <w:rPr>
          <w:rFonts w:hint="eastAsia" w:ascii="仿宋" w:hAnsi="仿宋" w:eastAsia="仿宋" w:cs="仿宋"/>
          <w:sz w:val="24"/>
          <w:szCs w:val="24"/>
        </w:rPr>
        <w:t xml:space="preserve"> </w:t>
      </w:r>
    </w:p>
    <w:p w14:paraId="7B91B9A1">
      <w:pPr>
        <w:pageBreakBefore w:val="0"/>
        <w:numPr>
          <w:ilvl w:val="0"/>
          <w:numId w:val="14"/>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lang w:bidi="ar"/>
        </w:rPr>
      </w:pPr>
      <w:r>
        <w:rPr>
          <w:rFonts w:hint="eastAsia" w:ascii="仿宋" w:hAnsi="仿宋" w:eastAsia="仿宋" w:cs="仿宋"/>
          <w:b/>
          <w:bCs/>
          <w:sz w:val="24"/>
          <w:szCs w:val="24"/>
          <w:lang w:bidi="ar"/>
        </w:rPr>
        <w:t>可视化分析：</w:t>
      </w:r>
      <w:r>
        <w:rPr>
          <w:rFonts w:hint="eastAsia" w:ascii="仿宋" w:hAnsi="仿宋" w:eastAsia="仿宋" w:cs="仿宋"/>
          <w:sz w:val="24"/>
          <w:szCs w:val="24"/>
          <w:lang w:bidi="ar"/>
        </w:rPr>
        <w:t>支持对舆情事件进行实时的数据分析，从传播趋势、倾向性趋势、平台传播路径等10个维度呈现可视化看板。</w:t>
      </w:r>
    </w:p>
    <w:p w14:paraId="5E51B2AA">
      <w:pPr>
        <w:pageBreakBefore w:val="0"/>
        <w:numPr>
          <w:ilvl w:val="0"/>
          <w:numId w:val="14"/>
        </w:numPr>
        <w:kinsoku/>
        <w:wordWrap/>
        <w:overflowPunct/>
        <w:topLinePunct w:val="0"/>
        <w:autoSpaceDE/>
        <w:autoSpaceDN/>
        <w:bidi w:val="0"/>
        <w:adjustRightInd/>
        <w:snapToGrid/>
        <w:spacing w:line="400" w:lineRule="atLeast"/>
        <w:ind w:left="425" w:leftChars="0" w:hanging="425" w:firstLineChars="0"/>
        <w:textAlignment w:val="auto"/>
        <w:outlineLvl w:val="9"/>
        <w:rPr>
          <w:rFonts w:hint="eastAsia" w:ascii="仿宋" w:hAnsi="仿宋" w:eastAsia="仿宋" w:cs="仿宋"/>
          <w:sz w:val="24"/>
          <w:szCs w:val="24"/>
          <w:lang w:bidi="ar"/>
        </w:rPr>
      </w:pPr>
      <w:r>
        <w:rPr>
          <w:rFonts w:hint="eastAsia" w:ascii="仿宋" w:hAnsi="仿宋" w:eastAsia="仿宋" w:cs="仿宋"/>
          <w:b/>
          <w:bCs/>
          <w:sz w:val="24"/>
          <w:szCs w:val="24"/>
          <w:lang w:bidi="ar"/>
        </w:rPr>
        <w:t>抽帧能力：</w:t>
      </w:r>
      <w:r>
        <w:rPr>
          <w:rFonts w:hint="eastAsia" w:ascii="仿宋" w:hAnsi="仿宋" w:eastAsia="仿宋" w:cs="仿宋"/>
          <w:sz w:val="24"/>
          <w:szCs w:val="24"/>
          <w:lang w:bidi="ar"/>
        </w:rPr>
        <w:t>实现了视频内容的抽帧、识别，对采集到所有短视频进行封面加前5秒的抽帧。</w:t>
      </w:r>
    </w:p>
    <w:p w14:paraId="2E6F871D">
      <w:pPr>
        <w:pageBreakBefore w:val="0"/>
        <w:numPr>
          <w:ilvl w:val="2"/>
          <w:numId w:val="8"/>
        </w:numPr>
        <w:kinsoku/>
        <w:wordWrap/>
        <w:overflowPunct/>
        <w:topLinePunct w:val="0"/>
        <w:autoSpaceDE/>
        <w:autoSpaceDN/>
        <w:bidi w:val="0"/>
        <w:adjustRightInd/>
        <w:snapToGrid/>
        <w:spacing w:line="400" w:lineRule="atLeast"/>
        <w:ind w:hanging="294"/>
        <w:textAlignment w:val="auto"/>
        <w:outlineLvl w:val="9"/>
        <w:rPr>
          <w:rFonts w:hint="eastAsia" w:ascii="仿宋" w:hAnsi="仿宋" w:eastAsia="仿宋" w:cs="仿宋"/>
          <w:sz w:val="24"/>
          <w:szCs w:val="24"/>
        </w:rPr>
      </w:pPr>
      <w:bookmarkStart w:id="20" w:name="_Toc138761318"/>
      <w:r>
        <w:rPr>
          <w:rFonts w:hint="eastAsia" w:ascii="仿宋" w:hAnsi="仿宋" w:eastAsia="仿宋" w:cs="仿宋"/>
          <w:sz w:val="24"/>
          <w:szCs w:val="24"/>
        </w:rPr>
        <w:t>视频作者画像分析</w:t>
      </w:r>
      <w:bookmarkEnd w:id="20"/>
    </w:p>
    <w:p w14:paraId="35C2983E">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lang w:val="zh-CN" w:bidi="en-US"/>
        </w:rPr>
      </w:pPr>
      <w:r>
        <w:rPr>
          <w:rFonts w:hint="eastAsia" w:ascii="仿宋" w:hAnsi="仿宋" w:eastAsia="仿宋" w:cs="仿宋"/>
          <w:sz w:val="24"/>
          <w:szCs w:val="24"/>
          <w:lang w:val="zh-CN" w:bidi="en-US"/>
        </w:rPr>
        <w:t>对每位视频作者进行画像分析，包括：关注数、粉丝数、状态数、性别、是否加V、加V原因、注册时间、注册地、签到地点、24小时内的发帖和回帖时间分布、每个月的信息分布等。通过发现的账号线索，可以从海量大数据平台中获取关于账号作者的相关信息，从中计算出作者的活动轨迹，从而发现更多的线索，支持查看作者账号ID信息、注册地、ip地域、粉丝量情况、关注话题及近期作品等。</w:t>
      </w:r>
    </w:p>
    <w:p w14:paraId="259FE49B">
      <w:pPr>
        <w:pageBreakBefore w:val="0"/>
        <w:numPr>
          <w:ilvl w:val="2"/>
          <w:numId w:val="8"/>
        </w:numPr>
        <w:kinsoku/>
        <w:wordWrap/>
        <w:overflowPunct/>
        <w:topLinePunct w:val="0"/>
        <w:autoSpaceDE/>
        <w:autoSpaceDN/>
        <w:bidi w:val="0"/>
        <w:adjustRightInd/>
        <w:snapToGrid/>
        <w:spacing w:line="400" w:lineRule="atLeast"/>
        <w:ind w:hanging="294"/>
        <w:textAlignment w:val="auto"/>
        <w:outlineLvl w:val="9"/>
        <w:rPr>
          <w:rFonts w:hint="eastAsia" w:ascii="仿宋" w:hAnsi="仿宋" w:eastAsia="仿宋" w:cs="仿宋"/>
          <w:sz w:val="24"/>
          <w:szCs w:val="24"/>
        </w:rPr>
      </w:pPr>
      <w:bookmarkStart w:id="21" w:name="_Toc138761319"/>
      <w:r>
        <w:rPr>
          <w:rFonts w:hint="eastAsia" w:ascii="仿宋" w:hAnsi="仿宋" w:eastAsia="仿宋" w:cs="仿宋"/>
          <w:sz w:val="24"/>
          <w:szCs w:val="24"/>
        </w:rPr>
        <w:t>短视频事件传播分析</w:t>
      </w:r>
      <w:bookmarkEnd w:id="21"/>
    </w:p>
    <w:p w14:paraId="45CC5CE3">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lang w:val="zh-CN"/>
        </w:rPr>
      </w:pPr>
      <w:r>
        <w:rPr>
          <w:rFonts w:hint="eastAsia" w:ascii="仿宋" w:hAnsi="仿宋" w:eastAsia="仿宋" w:cs="仿宋"/>
          <w:sz w:val="24"/>
          <w:szCs w:val="24"/>
          <w:lang w:val="zh-CN" w:bidi="en-US"/>
        </w:rPr>
        <w:t>对于特定事件，分析该事件在短视频平台的分布情况、信息溯源、发展趋势以及网民观点等要素，包括数据概述、传播链路、平台分布、发展趋势、热词、作者分布等。可分享及导出舆情事件报告。可实时进行风险的持续跟踪、分析，包括参与人、重点传播媒体及媒体矩阵、及其言论、观点的分析。</w:t>
      </w:r>
    </w:p>
    <w:p w14:paraId="44856E6C">
      <w:pPr>
        <w:pageBreakBefore w:val="0"/>
        <w:numPr>
          <w:ilvl w:val="1"/>
          <w:numId w:val="8"/>
        </w:numPr>
        <w:kinsoku/>
        <w:wordWrap/>
        <w:overflowPunct/>
        <w:topLinePunct w:val="0"/>
        <w:autoSpaceDE/>
        <w:autoSpaceDN/>
        <w:bidi w:val="0"/>
        <w:adjustRightInd/>
        <w:snapToGrid/>
        <w:spacing w:line="400" w:lineRule="atLeast"/>
        <w:textAlignment w:val="auto"/>
        <w:outlineLvl w:val="9"/>
        <w:rPr>
          <w:rFonts w:hint="eastAsia" w:ascii="仿宋" w:hAnsi="仿宋" w:eastAsia="仿宋" w:cs="仿宋"/>
          <w:sz w:val="24"/>
          <w:szCs w:val="24"/>
        </w:rPr>
      </w:pPr>
      <w:bookmarkStart w:id="22" w:name="_Toc138761320"/>
      <w:r>
        <w:rPr>
          <w:rFonts w:hint="eastAsia" w:ascii="仿宋" w:hAnsi="仿宋" w:eastAsia="仿宋" w:cs="仿宋"/>
          <w:sz w:val="24"/>
          <w:szCs w:val="24"/>
        </w:rPr>
        <w:t>属地媒体巡查</w:t>
      </w:r>
      <w:bookmarkEnd w:id="22"/>
    </w:p>
    <w:p w14:paraId="446F5E0D">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rPr>
      </w:pPr>
      <w:r>
        <w:rPr>
          <w:rFonts w:hint="eastAsia" w:ascii="仿宋" w:hAnsi="仿宋" w:eastAsia="仿宋" w:cs="仿宋"/>
          <w:sz w:val="24"/>
          <w:szCs w:val="24"/>
        </w:rPr>
        <w:t>实现7*24小时自动排查属地重点网站和新媒体，生成属地台账。支持在线实时检测，支持历史数据审核，及时发现互联网上的涉政治类不规范表述等错敏信息，通知相关责任人及时处置。</w:t>
      </w:r>
    </w:p>
    <w:p w14:paraId="16990984">
      <w:pPr>
        <w:pageBreakBefore w:val="0"/>
        <w:numPr>
          <w:ilvl w:val="2"/>
          <w:numId w:val="15"/>
        </w:numPr>
        <w:kinsoku/>
        <w:wordWrap/>
        <w:overflowPunct/>
        <w:topLinePunct w:val="0"/>
        <w:autoSpaceDE/>
        <w:autoSpaceDN/>
        <w:bidi w:val="0"/>
        <w:adjustRightInd/>
        <w:snapToGrid/>
        <w:spacing w:line="400" w:lineRule="atLeast"/>
        <w:textAlignment w:val="auto"/>
        <w:outlineLvl w:val="9"/>
        <w:rPr>
          <w:rFonts w:hint="eastAsia" w:ascii="仿宋" w:hAnsi="仿宋" w:eastAsia="仿宋" w:cs="仿宋"/>
          <w:sz w:val="24"/>
          <w:szCs w:val="24"/>
        </w:rPr>
      </w:pPr>
      <w:bookmarkStart w:id="23" w:name="_Toc138761321"/>
      <w:r>
        <w:rPr>
          <w:rFonts w:hint="eastAsia" w:ascii="仿宋" w:hAnsi="仿宋" w:eastAsia="仿宋" w:cs="仿宋"/>
          <w:sz w:val="24"/>
          <w:szCs w:val="24"/>
        </w:rPr>
        <w:t>属地媒体台账管理</w:t>
      </w:r>
      <w:bookmarkEnd w:id="23"/>
    </w:p>
    <w:p w14:paraId="2430BD6D">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rPr>
        <w:t>自动发现属地内网站、微信公众号、微博、短视频等信源，对属地内大V信源，僵尸信源提供计算。对媒体进行风险评估，便于督导、整改</w:t>
      </w:r>
      <w:r>
        <w:rPr>
          <w:rFonts w:hint="eastAsia" w:ascii="仿宋" w:hAnsi="仿宋" w:eastAsia="仿宋" w:cs="仿宋"/>
          <w:sz w:val="24"/>
          <w:szCs w:val="24"/>
          <w:lang w:eastAsia="zh-CN"/>
        </w:rPr>
        <w:t>。</w:t>
      </w:r>
    </w:p>
    <w:p w14:paraId="27FCD3E2">
      <w:pPr>
        <w:pageBreakBefore w:val="0"/>
        <w:numPr>
          <w:ilvl w:val="2"/>
          <w:numId w:val="15"/>
        </w:numPr>
        <w:kinsoku/>
        <w:wordWrap/>
        <w:overflowPunct/>
        <w:topLinePunct w:val="0"/>
        <w:autoSpaceDE/>
        <w:autoSpaceDN/>
        <w:bidi w:val="0"/>
        <w:adjustRightInd/>
        <w:snapToGrid/>
        <w:spacing w:line="400" w:lineRule="atLeast"/>
        <w:textAlignment w:val="auto"/>
        <w:outlineLvl w:val="9"/>
        <w:rPr>
          <w:rFonts w:hint="eastAsia" w:ascii="仿宋" w:hAnsi="仿宋" w:eastAsia="仿宋" w:cs="仿宋"/>
          <w:sz w:val="24"/>
          <w:szCs w:val="24"/>
        </w:rPr>
      </w:pPr>
      <w:bookmarkStart w:id="24" w:name="_Toc138761322"/>
      <w:r>
        <w:rPr>
          <w:rFonts w:hint="eastAsia" w:ascii="仿宋" w:hAnsi="仿宋" w:eastAsia="仿宋" w:cs="仿宋"/>
          <w:sz w:val="24"/>
          <w:szCs w:val="24"/>
        </w:rPr>
        <w:t>内容审核</w:t>
      </w:r>
      <w:bookmarkEnd w:id="24"/>
    </w:p>
    <w:p w14:paraId="5935E174">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rPr>
      </w:pPr>
      <w:r>
        <w:rPr>
          <w:rFonts w:hint="eastAsia" w:ascii="仿宋" w:hAnsi="仿宋" w:eastAsia="仿宋" w:cs="仿宋"/>
          <w:sz w:val="24"/>
          <w:szCs w:val="24"/>
        </w:rPr>
        <w:t>识别属地信源发布稿件中的涉政治类不规范表述、涉黄、涉毒、涉历史虚无有害信息等。对属地内发文信息进行实时错误巡查。</w:t>
      </w:r>
    </w:p>
    <w:p w14:paraId="128DB671">
      <w:pPr>
        <w:pageBreakBefore w:val="0"/>
        <w:numPr>
          <w:ilvl w:val="2"/>
          <w:numId w:val="15"/>
        </w:numPr>
        <w:kinsoku/>
        <w:wordWrap/>
        <w:overflowPunct/>
        <w:topLinePunct w:val="0"/>
        <w:autoSpaceDE/>
        <w:autoSpaceDN/>
        <w:bidi w:val="0"/>
        <w:adjustRightInd/>
        <w:snapToGrid/>
        <w:spacing w:line="400" w:lineRule="atLeast"/>
        <w:textAlignment w:val="auto"/>
        <w:outlineLvl w:val="9"/>
        <w:rPr>
          <w:rFonts w:hint="eastAsia" w:ascii="仿宋" w:hAnsi="仿宋" w:eastAsia="仿宋" w:cs="仿宋"/>
          <w:sz w:val="24"/>
          <w:szCs w:val="24"/>
        </w:rPr>
      </w:pPr>
      <w:bookmarkStart w:id="25" w:name="_Toc138761323"/>
      <w:r>
        <w:rPr>
          <w:rFonts w:hint="eastAsia" w:ascii="仿宋" w:hAnsi="仿宋" w:eastAsia="仿宋" w:cs="仿宋"/>
          <w:sz w:val="24"/>
          <w:szCs w:val="24"/>
        </w:rPr>
        <w:t>稿前审核</w:t>
      </w:r>
      <w:bookmarkEnd w:id="25"/>
    </w:p>
    <w:p w14:paraId="6811CA35">
      <w:pPr>
        <w:pageBreakBefore w:val="0"/>
        <w:kinsoku/>
        <w:wordWrap/>
        <w:overflowPunct/>
        <w:topLinePunct w:val="0"/>
        <w:autoSpaceDE/>
        <w:autoSpaceDN/>
        <w:bidi w:val="0"/>
        <w:adjustRightInd/>
        <w:snapToGrid/>
        <w:spacing w:line="400" w:lineRule="atLeast"/>
        <w:ind w:firstLine="420"/>
        <w:textAlignment w:val="auto"/>
        <w:outlineLvl w:val="9"/>
        <w:rPr>
          <w:rFonts w:hint="eastAsia" w:ascii="仿宋" w:hAnsi="仿宋" w:eastAsia="仿宋" w:cs="仿宋"/>
          <w:sz w:val="24"/>
          <w:szCs w:val="24"/>
        </w:rPr>
      </w:pPr>
      <w:r>
        <w:rPr>
          <w:rFonts w:hint="eastAsia" w:ascii="仿宋" w:hAnsi="仿宋" w:eastAsia="仿宋" w:cs="仿宋"/>
          <w:sz w:val="24"/>
          <w:szCs w:val="24"/>
        </w:rPr>
        <w:t>除实时巡查外支持在发稿前通过上传文档或者在线输入文本2种方式进行错敏信息检测。可检测的错误类型包括领导人职称及姓名、方针法规、会议精神、党史党建、其他敏感、错别字及自定义词库6类；自定义词库中支持客户自定义错敏词及排除词。</w:t>
      </w:r>
    </w:p>
    <w:p w14:paraId="22B3E470">
      <w:pPr>
        <w:pStyle w:val="3"/>
        <w:pageBreakBefore w:val="0"/>
        <w:numPr>
          <w:ilvl w:val="0"/>
          <w:numId w:val="0"/>
        </w:numPr>
        <w:kinsoku/>
        <w:wordWrap/>
        <w:overflowPunct/>
        <w:topLinePunct w:val="0"/>
        <w:autoSpaceDE/>
        <w:autoSpaceDN/>
        <w:bidi w:val="0"/>
        <w:adjustRightInd/>
        <w:snapToGrid/>
        <w:spacing w:line="400" w:lineRule="atLeast"/>
        <w:ind w:leftChars="0"/>
        <w:textAlignment w:val="auto"/>
        <w:rPr>
          <w:rFonts w:hint="eastAsia" w:ascii="仿宋" w:hAnsi="仿宋" w:eastAsia="仿宋" w:cs="仿宋"/>
          <w:sz w:val="24"/>
          <w:szCs w:val="24"/>
        </w:rPr>
      </w:pPr>
      <w:bookmarkStart w:id="26" w:name="_Toc138761324"/>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三</w:t>
      </w:r>
      <w:r>
        <w:rPr>
          <w:rFonts w:hint="eastAsia" w:ascii="仿宋" w:hAnsi="仿宋" w:eastAsia="仿宋" w:cs="仿宋"/>
          <w:sz w:val="24"/>
          <w:szCs w:val="24"/>
          <w:lang w:eastAsia="zh-CN"/>
        </w:rPr>
        <w:t>）</w:t>
      </w:r>
      <w:r>
        <w:rPr>
          <w:rFonts w:hint="eastAsia" w:ascii="仿宋" w:hAnsi="仿宋" w:eastAsia="仿宋" w:cs="仿宋"/>
          <w:sz w:val="24"/>
          <w:szCs w:val="24"/>
        </w:rPr>
        <w:t>技术支持与售后服务</w:t>
      </w:r>
      <w:bookmarkEnd w:id="26"/>
    </w:p>
    <w:p w14:paraId="0FCC229C">
      <w:pPr>
        <w:pageBreakBefore w:val="0"/>
        <w:kinsoku/>
        <w:wordWrap/>
        <w:overflowPunct/>
        <w:topLinePunct w:val="0"/>
        <w:autoSpaceDE/>
        <w:autoSpaceDN/>
        <w:bidi w:val="0"/>
        <w:adjustRightInd/>
        <w:snapToGrid/>
        <w:spacing w:line="400" w:lineRule="atLeast"/>
        <w:ind w:firstLine="420"/>
        <w:textAlignment w:val="auto"/>
        <w:rPr>
          <w:rFonts w:hint="eastAsia" w:ascii="仿宋" w:hAnsi="仿宋" w:eastAsia="仿宋" w:cs="仿宋"/>
          <w:sz w:val="24"/>
          <w:szCs w:val="24"/>
          <w:lang w:eastAsia="zh-CN"/>
        </w:rPr>
      </w:pPr>
      <w:r>
        <w:rPr>
          <w:rFonts w:hint="eastAsia" w:ascii="仿宋" w:hAnsi="仿宋" w:eastAsia="仿宋" w:cs="仿宋"/>
          <w:sz w:val="24"/>
          <w:szCs w:val="24"/>
        </w:rPr>
        <w:t>系统运行维护建设方案包括设备维护、网络维护、安全系统维护、应用系统维护等</w:t>
      </w:r>
      <w:r>
        <w:rPr>
          <w:rFonts w:hint="eastAsia" w:ascii="仿宋" w:hAnsi="仿宋" w:eastAsia="仿宋" w:cs="仿宋"/>
          <w:sz w:val="24"/>
          <w:szCs w:val="24"/>
          <w:lang w:eastAsia="zh-CN"/>
        </w:rPr>
        <w:t>。</w:t>
      </w:r>
    </w:p>
    <w:p w14:paraId="598A400D">
      <w:pPr>
        <w:pageBreakBefore w:val="0"/>
        <w:numPr>
          <w:ilvl w:val="0"/>
          <w:numId w:val="16"/>
        </w:numPr>
        <w:kinsoku/>
        <w:wordWrap/>
        <w:overflowPunct/>
        <w:topLinePunct w:val="0"/>
        <w:autoSpaceDE/>
        <w:autoSpaceDN/>
        <w:bidi w:val="0"/>
        <w:adjustRightInd/>
        <w:snapToGrid/>
        <w:spacing w:line="400" w:lineRule="atLeast"/>
        <w:ind w:left="425" w:leftChars="0" w:hanging="425" w:firstLineChars="0"/>
        <w:textAlignment w:val="auto"/>
        <w:rPr>
          <w:rFonts w:hint="eastAsia" w:ascii="仿宋" w:hAnsi="仿宋" w:eastAsia="仿宋" w:cs="仿宋"/>
          <w:sz w:val="24"/>
          <w:szCs w:val="24"/>
        </w:rPr>
      </w:pPr>
      <w:r>
        <w:rPr>
          <w:rFonts w:hint="eastAsia" w:ascii="仿宋" w:hAnsi="仿宋" w:eastAsia="仿宋" w:cs="仿宋"/>
          <w:b/>
          <w:bCs/>
          <w:sz w:val="24"/>
          <w:szCs w:val="24"/>
        </w:rPr>
        <w:t>应用系统维护</w:t>
      </w:r>
      <w:r>
        <w:rPr>
          <w:rFonts w:hint="eastAsia" w:ascii="仿宋" w:hAnsi="仿宋" w:eastAsia="仿宋" w:cs="仿宋"/>
          <w:b/>
          <w:bCs/>
          <w:sz w:val="24"/>
          <w:szCs w:val="24"/>
          <w:lang w:eastAsia="zh-CN"/>
        </w:rPr>
        <w:t>：</w:t>
      </w:r>
      <w:r>
        <w:rPr>
          <w:rFonts w:hint="eastAsia" w:ascii="仿宋" w:hAnsi="仿宋" w:eastAsia="仿宋" w:cs="仿宋"/>
          <w:sz w:val="24"/>
          <w:szCs w:val="24"/>
        </w:rPr>
        <w:t>保证系统正常而可靠运行，并能使系统不断地得到改善和提高，以充分发挥作用。</w:t>
      </w:r>
    </w:p>
    <w:p w14:paraId="78A3CC03">
      <w:pPr>
        <w:pageBreakBefore w:val="0"/>
        <w:numPr>
          <w:ilvl w:val="0"/>
          <w:numId w:val="16"/>
        </w:numPr>
        <w:kinsoku/>
        <w:wordWrap/>
        <w:overflowPunct/>
        <w:topLinePunct w:val="0"/>
        <w:autoSpaceDE/>
        <w:autoSpaceDN/>
        <w:bidi w:val="0"/>
        <w:adjustRightInd/>
        <w:snapToGrid/>
        <w:spacing w:line="400" w:lineRule="atLeast"/>
        <w:ind w:left="425" w:leftChars="0" w:hanging="425" w:firstLineChars="0"/>
        <w:textAlignment w:val="auto"/>
        <w:rPr>
          <w:rFonts w:hint="eastAsia" w:ascii="仿宋" w:hAnsi="仿宋" w:eastAsia="仿宋" w:cs="仿宋"/>
          <w:sz w:val="24"/>
          <w:szCs w:val="24"/>
        </w:rPr>
      </w:pPr>
      <w:r>
        <w:rPr>
          <w:rFonts w:hint="eastAsia" w:ascii="仿宋" w:hAnsi="仿宋" w:eastAsia="仿宋" w:cs="仿宋"/>
          <w:b/>
          <w:bCs/>
          <w:sz w:val="24"/>
          <w:szCs w:val="24"/>
        </w:rPr>
        <w:t>系统应用程序维护</w:t>
      </w:r>
      <w:r>
        <w:rPr>
          <w:rFonts w:hint="eastAsia" w:ascii="仿宋" w:hAnsi="仿宋" w:eastAsia="仿宋" w:cs="仿宋"/>
          <w:sz w:val="24"/>
          <w:szCs w:val="24"/>
        </w:rPr>
        <w:t>：根据客户需求进行系统业务逻辑调整。即对系统程序的修改和调整，扩充在使用过程中客户提出的新的功能及性能要求。</w:t>
      </w:r>
    </w:p>
    <w:p w14:paraId="470C0C1F">
      <w:pPr>
        <w:pageBreakBefore w:val="0"/>
        <w:numPr>
          <w:ilvl w:val="0"/>
          <w:numId w:val="16"/>
        </w:numPr>
        <w:kinsoku/>
        <w:wordWrap/>
        <w:overflowPunct/>
        <w:topLinePunct w:val="0"/>
        <w:autoSpaceDE/>
        <w:autoSpaceDN/>
        <w:bidi w:val="0"/>
        <w:adjustRightInd/>
        <w:snapToGrid/>
        <w:spacing w:line="400" w:lineRule="atLeast"/>
        <w:ind w:left="425" w:leftChars="0" w:hanging="425" w:firstLineChars="0"/>
        <w:textAlignment w:val="auto"/>
        <w:rPr>
          <w:rFonts w:hint="eastAsia" w:ascii="仿宋" w:hAnsi="仿宋" w:eastAsia="仿宋" w:cs="仿宋"/>
          <w:sz w:val="24"/>
          <w:szCs w:val="24"/>
        </w:rPr>
      </w:pPr>
      <w:r>
        <w:rPr>
          <w:rFonts w:hint="eastAsia" w:ascii="仿宋" w:hAnsi="仿宋" w:eastAsia="仿宋" w:cs="仿宋"/>
          <w:b/>
          <w:bCs/>
          <w:sz w:val="24"/>
          <w:szCs w:val="24"/>
        </w:rPr>
        <w:t>数据维护</w:t>
      </w:r>
      <w:r>
        <w:rPr>
          <w:rFonts w:hint="eastAsia" w:ascii="仿宋" w:hAnsi="仿宋" w:eastAsia="仿宋" w:cs="仿宋"/>
          <w:sz w:val="24"/>
          <w:szCs w:val="24"/>
        </w:rPr>
        <w:t>：除系统中主体业务数据的定期正常更新外，随环境或业务的变化而</w:t>
      </w:r>
      <w:r>
        <w:rPr>
          <w:rFonts w:hint="eastAsia" w:ascii="仿宋" w:hAnsi="仿宋" w:eastAsia="仿宋" w:cs="仿宋"/>
          <w:sz w:val="24"/>
          <w:szCs w:val="24"/>
          <w:lang w:val="en-US" w:eastAsia="zh-CN"/>
        </w:rPr>
        <w:t>造成的</w:t>
      </w:r>
      <w:r>
        <w:rPr>
          <w:rFonts w:hint="eastAsia" w:ascii="仿宋" w:hAnsi="仿宋" w:eastAsia="仿宋" w:cs="仿宋"/>
          <w:sz w:val="24"/>
          <w:szCs w:val="24"/>
        </w:rPr>
        <w:t>不定期</w:t>
      </w:r>
      <w:r>
        <w:rPr>
          <w:rFonts w:hint="eastAsia" w:ascii="仿宋" w:hAnsi="仿宋" w:eastAsia="仿宋" w:cs="仿宋"/>
          <w:sz w:val="24"/>
          <w:szCs w:val="24"/>
          <w:lang w:val="en-US" w:eastAsia="zh-CN"/>
        </w:rPr>
        <w:t>数据</w:t>
      </w:r>
      <w:r>
        <w:rPr>
          <w:rFonts w:hint="eastAsia" w:ascii="仿宋" w:hAnsi="仿宋" w:eastAsia="仿宋" w:cs="仿宋"/>
          <w:sz w:val="24"/>
          <w:szCs w:val="24"/>
        </w:rPr>
        <w:t>更新，以及数据内容的增加、数据结构的调整。此外，数据的备份与恢复等，都是数据维护的工作内容。</w:t>
      </w:r>
    </w:p>
    <w:p w14:paraId="55BCB526">
      <w:pPr>
        <w:pageBreakBefore w:val="0"/>
        <w:numPr>
          <w:ilvl w:val="0"/>
          <w:numId w:val="16"/>
        </w:numPr>
        <w:kinsoku/>
        <w:wordWrap/>
        <w:overflowPunct/>
        <w:topLinePunct w:val="0"/>
        <w:autoSpaceDE/>
        <w:autoSpaceDN/>
        <w:bidi w:val="0"/>
        <w:adjustRightInd/>
        <w:snapToGrid/>
        <w:spacing w:line="400" w:lineRule="atLeast"/>
        <w:ind w:left="425" w:leftChars="0" w:hanging="425" w:firstLineChars="0"/>
        <w:textAlignment w:val="auto"/>
        <w:rPr>
          <w:rFonts w:hint="eastAsia" w:ascii="仿宋" w:hAnsi="仿宋" w:eastAsia="仿宋" w:cs="仿宋"/>
          <w:sz w:val="24"/>
          <w:szCs w:val="24"/>
        </w:rPr>
      </w:pPr>
      <w:r>
        <w:rPr>
          <w:rFonts w:hint="eastAsia" w:ascii="仿宋" w:hAnsi="仿宋" w:eastAsia="仿宋" w:cs="仿宋"/>
          <w:b/>
          <w:bCs/>
          <w:sz w:val="24"/>
          <w:szCs w:val="24"/>
        </w:rPr>
        <w:t>代码维护</w:t>
      </w:r>
      <w:r>
        <w:rPr>
          <w:rFonts w:hint="eastAsia" w:ascii="仿宋" w:hAnsi="仿宋" w:eastAsia="仿宋" w:cs="仿宋"/>
          <w:sz w:val="24"/>
          <w:szCs w:val="24"/>
        </w:rPr>
        <w:t>：随着系统应用范围的扩大，应用环境的变化，系统中的各种代码都需要进行一定程度的增加、修改、删除，以及设置新的代码。</w:t>
      </w:r>
    </w:p>
    <w:p w14:paraId="4476B66B">
      <w:pPr>
        <w:pageBreakBefore w:val="0"/>
        <w:numPr>
          <w:ilvl w:val="0"/>
          <w:numId w:val="16"/>
        </w:numPr>
        <w:kinsoku/>
        <w:wordWrap/>
        <w:overflowPunct/>
        <w:topLinePunct w:val="0"/>
        <w:autoSpaceDE/>
        <w:autoSpaceDN/>
        <w:bidi w:val="0"/>
        <w:adjustRightInd/>
        <w:snapToGrid/>
        <w:spacing w:line="400" w:lineRule="atLeast"/>
        <w:ind w:left="425" w:leftChars="0" w:hanging="425" w:firstLineChars="0"/>
        <w:textAlignment w:val="auto"/>
        <w:rPr>
          <w:rFonts w:hint="eastAsia" w:ascii="仿宋" w:hAnsi="仿宋" w:eastAsia="仿宋" w:cs="仿宋"/>
          <w:sz w:val="24"/>
          <w:szCs w:val="24"/>
        </w:rPr>
      </w:pPr>
      <w:r>
        <w:rPr>
          <w:rFonts w:hint="eastAsia" w:ascii="仿宋" w:hAnsi="仿宋" w:eastAsia="仿宋" w:cs="仿宋"/>
          <w:sz w:val="24"/>
          <w:szCs w:val="24"/>
        </w:rPr>
        <w:t>定期检查程序错误日志，清楚系统运行中发生的故障和错误。</w:t>
      </w:r>
    </w:p>
    <w:p w14:paraId="237B21FE"/>
    <w:p w14:paraId="08B16341">
      <w:pPr>
        <w:spacing w:line="360" w:lineRule="auto"/>
        <w:jc w:val="left"/>
        <w:outlineLvl w:val="1"/>
        <w:rPr>
          <w:rFonts w:hint="eastAsia" w:ascii="仿宋" w:hAnsi="仿宋" w:eastAsia="仿宋" w:cs="仿宋"/>
          <w:b/>
          <w:sz w:val="28"/>
          <w:szCs w:val="28"/>
          <w:highlight w:val="none"/>
        </w:rPr>
      </w:pPr>
      <w:r>
        <w:rPr>
          <w:rFonts w:hint="eastAsia" w:ascii="仿宋" w:hAnsi="仿宋" w:eastAsia="仿宋" w:cs="仿宋"/>
          <w:b/>
          <w:sz w:val="28"/>
          <w:szCs w:val="28"/>
          <w:highlight w:val="none"/>
        </w:rPr>
        <w:t>二、商务需求</w:t>
      </w:r>
    </w:p>
    <w:tbl>
      <w:tblPr>
        <w:tblStyle w:val="14"/>
        <w:tblW w:w="9199" w:type="dxa"/>
        <w:tblInd w:w="49"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43"/>
        <w:gridCol w:w="6956"/>
      </w:tblGrid>
      <w:tr w14:paraId="02D4FF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53" w:hRule="atLeast"/>
        </w:trPr>
        <w:tc>
          <w:tcPr>
            <w:tcW w:w="2243" w:type="dxa"/>
            <w:tcBorders>
              <w:top w:val="single" w:color="auto" w:sz="4" w:space="0"/>
              <w:left w:val="single" w:color="auto" w:sz="4" w:space="0"/>
              <w:bottom w:val="single" w:color="auto" w:sz="4" w:space="0"/>
              <w:right w:val="single" w:color="auto" w:sz="4" w:space="0"/>
            </w:tcBorders>
            <w:vAlign w:val="center"/>
          </w:tcPr>
          <w:p w14:paraId="5451D8BE">
            <w:pPr>
              <w:spacing w:line="360" w:lineRule="auto"/>
              <w:jc w:val="center"/>
              <w:rPr>
                <w:rFonts w:hint="eastAsia" w:ascii="仿宋" w:hAnsi="仿宋" w:eastAsia="仿宋" w:cs="仿宋"/>
                <w:bCs/>
                <w:sz w:val="24"/>
              </w:rPr>
            </w:pPr>
            <w:r>
              <w:rPr>
                <w:rFonts w:hint="eastAsia" w:ascii="仿宋" w:hAnsi="仿宋" w:eastAsia="仿宋" w:cs="仿宋"/>
                <w:bCs/>
                <w:sz w:val="24"/>
              </w:rPr>
              <w:t>服务期</w:t>
            </w:r>
          </w:p>
        </w:tc>
        <w:tc>
          <w:tcPr>
            <w:tcW w:w="6956" w:type="dxa"/>
            <w:tcBorders>
              <w:top w:val="single" w:color="auto" w:sz="4" w:space="0"/>
              <w:left w:val="single" w:color="auto" w:sz="4" w:space="0"/>
              <w:bottom w:val="single" w:color="auto" w:sz="4" w:space="0"/>
              <w:right w:val="single" w:color="auto" w:sz="4" w:space="0"/>
            </w:tcBorders>
            <w:vAlign w:val="center"/>
          </w:tcPr>
          <w:p w14:paraId="13A8F8F0">
            <w:pPr>
              <w:spacing w:line="360" w:lineRule="auto"/>
              <w:jc w:val="both"/>
              <w:rPr>
                <w:rFonts w:hint="eastAsia" w:ascii="仿宋" w:hAnsi="仿宋" w:eastAsia="仿宋" w:cs="仿宋"/>
                <w:bCs/>
                <w:sz w:val="24"/>
              </w:rPr>
            </w:pPr>
            <w:bookmarkStart w:id="27" w:name="OLE_LINK3"/>
            <w:r>
              <w:rPr>
                <w:rFonts w:hint="eastAsia" w:ascii="仿宋" w:hAnsi="仿宋" w:eastAsia="仿宋" w:cs="仿宋"/>
                <w:bCs/>
                <w:sz w:val="24"/>
              </w:rPr>
              <w:t>▲</w:t>
            </w:r>
            <w:bookmarkEnd w:id="27"/>
            <w:r>
              <w:rPr>
                <w:rFonts w:hint="eastAsia" w:ascii="仿宋" w:hAnsi="仿宋" w:eastAsia="仿宋" w:cs="仿宋"/>
                <w:bCs/>
                <w:sz w:val="24"/>
                <w:lang w:val="en-US" w:eastAsia="zh-CN"/>
              </w:rPr>
              <w:t>自合同签订之日起</w:t>
            </w:r>
            <w:r>
              <w:rPr>
                <w:rFonts w:hint="eastAsia" w:ascii="仿宋" w:hAnsi="仿宋" w:eastAsia="仿宋" w:cs="仿宋"/>
                <w:bCs/>
                <w:sz w:val="24"/>
              </w:rPr>
              <w:t>1年</w:t>
            </w:r>
          </w:p>
        </w:tc>
      </w:tr>
      <w:tr w14:paraId="5E6B17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trPr>
        <w:tc>
          <w:tcPr>
            <w:tcW w:w="2243" w:type="dxa"/>
            <w:tcBorders>
              <w:top w:val="single" w:color="auto" w:sz="4" w:space="0"/>
              <w:left w:val="single" w:color="auto" w:sz="4" w:space="0"/>
              <w:bottom w:val="single" w:color="auto" w:sz="4" w:space="0"/>
              <w:right w:val="single" w:color="auto" w:sz="4" w:space="0"/>
            </w:tcBorders>
            <w:vAlign w:val="center"/>
          </w:tcPr>
          <w:p w14:paraId="0C9DAD64">
            <w:pPr>
              <w:spacing w:line="360" w:lineRule="auto"/>
              <w:jc w:val="center"/>
              <w:rPr>
                <w:rFonts w:hint="eastAsia" w:ascii="仿宋" w:hAnsi="仿宋" w:eastAsia="仿宋" w:cs="仿宋"/>
                <w:bCs/>
                <w:sz w:val="24"/>
              </w:rPr>
            </w:pPr>
            <w:r>
              <w:rPr>
                <w:rFonts w:hint="eastAsia" w:ascii="仿宋" w:hAnsi="仿宋" w:eastAsia="仿宋" w:cs="仿宋"/>
                <w:bCs/>
                <w:sz w:val="24"/>
              </w:rPr>
              <w:t>工期要求</w:t>
            </w:r>
          </w:p>
        </w:tc>
        <w:tc>
          <w:tcPr>
            <w:tcW w:w="6956" w:type="dxa"/>
            <w:tcBorders>
              <w:top w:val="single" w:color="auto" w:sz="4" w:space="0"/>
              <w:left w:val="single" w:color="auto" w:sz="4" w:space="0"/>
              <w:bottom w:val="single" w:color="auto" w:sz="4" w:space="0"/>
              <w:right w:val="single" w:color="auto" w:sz="4" w:space="0"/>
            </w:tcBorders>
            <w:vAlign w:val="center"/>
          </w:tcPr>
          <w:p w14:paraId="35BFE48A">
            <w:pPr>
              <w:spacing w:line="360" w:lineRule="auto"/>
              <w:jc w:val="both"/>
              <w:rPr>
                <w:rFonts w:hint="eastAsia" w:ascii="仿宋" w:hAnsi="仿宋" w:eastAsia="仿宋" w:cs="仿宋"/>
                <w:bCs/>
                <w:sz w:val="24"/>
              </w:rPr>
            </w:pPr>
            <w:r>
              <w:rPr>
                <w:rFonts w:hint="eastAsia" w:ascii="仿宋" w:hAnsi="仿宋" w:eastAsia="仿宋" w:cs="仿宋"/>
                <w:bCs/>
                <w:sz w:val="24"/>
              </w:rPr>
              <w:t>▲合同签订后一个月内完成项目上线。</w:t>
            </w:r>
          </w:p>
        </w:tc>
      </w:tr>
      <w:tr w14:paraId="71911C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2243" w:type="dxa"/>
            <w:tcBorders>
              <w:top w:val="single" w:color="auto" w:sz="4" w:space="0"/>
              <w:left w:val="single" w:color="auto" w:sz="4" w:space="0"/>
              <w:bottom w:val="single" w:color="auto" w:sz="4" w:space="0"/>
              <w:right w:val="single" w:color="auto" w:sz="4" w:space="0"/>
            </w:tcBorders>
            <w:vAlign w:val="center"/>
          </w:tcPr>
          <w:p w14:paraId="7F1155EE">
            <w:pPr>
              <w:spacing w:line="360" w:lineRule="auto"/>
              <w:jc w:val="center"/>
              <w:rPr>
                <w:rFonts w:hint="eastAsia" w:ascii="仿宋" w:hAnsi="仿宋" w:eastAsia="仿宋" w:cs="仿宋"/>
                <w:bCs/>
                <w:sz w:val="24"/>
              </w:rPr>
            </w:pPr>
            <w:r>
              <w:rPr>
                <w:rFonts w:hint="eastAsia" w:ascii="仿宋" w:hAnsi="仿宋" w:eastAsia="仿宋" w:cs="仿宋"/>
                <w:bCs/>
                <w:sz w:val="24"/>
              </w:rPr>
              <w:t>售后技术服务要求</w:t>
            </w:r>
          </w:p>
        </w:tc>
        <w:tc>
          <w:tcPr>
            <w:tcW w:w="6956" w:type="dxa"/>
            <w:tcBorders>
              <w:top w:val="single" w:color="auto" w:sz="4" w:space="0"/>
              <w:left w:val="single" w:color="auto" w:sz="4" w:space="0"/>
              <w:bottom w:val="single" w:color="auto" w:sz="4" w:space="0"/>
              <w:right w:val="single" w:color="auto" w:sz="4" w:space="0"/>
            </w:tcBorders>
            <w:vAlign w:val="center"/>
          </w:tcPr>
          <w:p w14:paraId="5F826D4D">
            <w:pPr>
              <w:spacing w:line="360" w:lineRule="auto"/>
              <w:jc w:val="both"/>
              <w:rPr>
                <w:rFonts w:hint="eastAsia" w:ascii="仿宋" w:hAnsi="仿宋" w:eastAsia="仿宋" w:cs="仿宋"/>
                <w:bCs/>
                <w:sz w:val="24"/>
              </w:rPr>
            </w:pPr>
            <w:r>
              <w:rPr>
                <w:rFonts w:hint="eastAsia" w:ascii="仿宋" w:hAnsi="仿宋" w:eastAsia="仿宋" w:cs="仿宋"/>
                <w:bCs/>
                <w:sz w:val="24"/>
              </w:rPr>
              <w:t>▲远程技术支持：供应商应具有稳定的技术支持队伍和完善的服务支持网络，提供7×24小时技术支持服务，</w:t>
            </w:r>
            <w:r>
              <w:rPr>
                <w:rFonts w:hint="eastAsia" w:ascii="仿宋" w:hAnsi="仿宋" w:eastAsia="仿宋" w:cs="仿宋"/>
                <w:i w:val="0"/>
                <w:iCs w:val="0"/>
                <w:color w:val="auto"/>
                <w:kern w:val="0"/>
                <w:sz w:val="24"/>
                <w:szCs w:val="24"/>
                <w:highlight w:val="none"/>
                <w:u w:val="none"/>
                <w:lang w:bidi="ar"/>
              </w:rPr>
              <w:t>接到采购人通知后</w:t>
            </w:r>
            <w:r>
              <w:rPr>
                <w:rFonts w:hint="eastAsia" w:ascii="仿宋" w:hAnsi="仿宋" w:eastAsia="仿宋" w:cs="仿宋"/>
                <w:i w:val="0"/>
                <w:iCs w:val="0"/>
                <w:color w:val="auto"/>
                <w:kern w:val="0"/>
                <w:sz w:val="24"/>
                <w:szCs w:val="24"/>
                <w:highlight w:val="none"/>
                <w:u w:val="none"/>
                <w:lang w:val="en-US" w:eastAsia="zh-CN" w:bidi="ar"/>
              </w:rPr>
              <w:t>3</w:t>
            </w:r>
            <w:r>
              <w:rPr>
                <w:rFonts w:hint="eastAsia" w:ascii="仿宋" w:hAnsi="仿宋" w:eastAsia="仿宋" w:cs="仿宋"/>
                <w:b w:val="0"/>
                <w:i w:val="0"/>
                <w:iCs w:val="0"/>
                <w:color w:val="auto"/>
                <w:kern w:val="2"/>
                <w:sz w:val="24"/>
                <w:szCs w:val="24"/>
                <w:highlight w:val="none"/>
                <w:u w:val="none"/>
                <w:lang w:val="en-US" w:eastAsia="zh-CN" w:bidi="ar-SA"/>
              </w:rPr>
              <w:t>小</w:t>
            </w:r>
            <w:r>
              <w:rPr>
                <w:rFonts w:hint="eastAsia" w:ascii="仿宋" w:hAnsi="仿宋" w:eastAsia="仿宋" w:cs="仿宋"/>
                <w:i w:val="0"/>
                <w:iCs w:val="0"/>
                <w:color w:val="auto"/>
                <w:kern w:val="0"/>
                <w:sz w:val="24"/>
                <w:szCs w:val="24"/>
                <w:highlight w:val="none"/>
                <w:u w:val="none"/>
                <w:lang w:bidi="ar"/>
              </w:rPr>
              <w:t>时内需响应</w:t>
            </w:r>
            <w:r>
              <w:rPr>
                <w:rFonts w:hint="eastAsia" w:ascii="仿宋" w:hAnsi="仿宋" w:eastAsia="仿宋" w:cs="仿宋"/>
                <w:bCs/>
                <w:sz w:val="24"/>
              </w:rPr>
              <w:t>采购人的技术服务支持需求。</w:t>
            </w:r>
          </w:p>
        </w:tc>
      </w:tr>
    </w:tbl>
    <w:p w14:paraId="66F01950">
      <w:pPr>
        <w:rPr>
          <w:rFonts w:hint="eastAsia" w:ascii="仿宋" w:hAnsi="仿宋" w:eastAsia="仿宋" w:cs="仿宋"/>
          <w:b/>
          <w:bCs w:val="0"/>
          <w:sz w:val="24"/>
          <w:szCs w:val="24"/>
          <w:highlight w:val="none"/>
          <w:lang w:val="en-US" w:eastAsia="zh-CN"/>
        </w:rPr>
      </w:pPr>
    </w:p>
    <w:p w14:paraId="51825B66">
      <w:pPr>
        <w:rPr>
          <w:rFonts w:hint="default" w:ascii="仿宋" w:hAnsi="仿宋" w:eastAsia="仿宋" w:cs="Times New Roman"/>
          <w:b/>
          <w:bCs w:val="0"/>
          <w:color w:val="auto"/>
          <w:kern w:val="2"/>
          <w:sz w:val="24"/>
          <w:szCs w:val="24"/>
          <w:highlight w:val="none"/>
          <w:lang w:val="en-US" w:eastAsia="zh-CN" w:bidi="ar-SA"/>
        </w:rPr>
      </w:pPr>
      <w:r>
        <w:rPr>
          <w:rFonts w:hint="eastAsia" w:ascii="仿宋" w:hAnsi="仿宋" w:eastAsia="仿宋" w:cs="仿宋"/>
          <w:b/>
          <w:bCs w:val="0"/>
          <w:sz w:val="24"/>
          <w:szCs w:val="24"/>
          <w:highlight w:val="none"/>
          <w:lang w:val="en-US" w:eastAsia="zh-CN"/>
        </w:rPr>
        <w:t>注：</w:t>
      </w:r>
      <w:r>
        <w:rPr>
          <w:rFonts w:ascii="仿宋" w:hAnsi="仿宋" w:eastAsia="仿宋" w:cs="Times New Roman"/>
          <w:b/>
          <w:bCs w:val="0"/>
          <w:color w:val="auto"/>
          <w:sz w:val="24"/>
          <w:szCs w:val="24"/>
          <w:highlight w:val="none"/>
        </w:rPr>
        <w:t>“▲”系指实质性要求条款</w:t>
      </w:r>
      <w:r>
        <w:rPr>
          <w:rFonts w:hint="eastAsia" w:ascii="仿宋" w:hAnsi="仿宋" w:eastAsia="仿宋" w:cs="Times New Roman"/>
          <w:b/>
          <w:bCs w:val="0"/>
          <w:color w:val="auto"/>
          <w:sz w:val="24"/>
          <w:szCs w:val="24"/>
          <w:highlight w:val="none"/>
          <w:lang w:eastAsia="zh-CN"/>
        </w:rPr>
        <w:t>，</w:t>
      </w:r>
      <w:r>
        <w:rPr>
          <w:rFonts w:hint="eastAsia" w:ascii="仿宋" w:hAnsi="仿宋" w:eastAsia="仿宋" w:cs="Times New Roman"/>
          <w:b/>
          <w:bCs w:val="0"/>
          <w:color w:val="auto"/>
          <w:sz w:val="24"/>
          <w:szCs w:val="24"/>
          <w:highlight w:val="none"/>
          <w:lang w:val="en-US" w:eastAsia="zh-CN"/>
        </w:rPr>
        <w:t>必须响应</w:t>
      </w:r>
      <w:r>
        <w:rPr>
          <w:rFonts w:hint="eastAsia" w:ascii="仿宋" w:hAnsi="仿宋" w:eastAsia="仿宋" w:cs="Times New Roman"/>
          <w:b/>
          <w:bCs w:val="0"/>
          <w:color w:val="auto"/>
          <w:kern w:val="2"/>
          <w:sz w:val="24"/>
          <w:szCs w:val="24"/>
          <w:highlight w:val="none"/>
          <w:lang w:val="en-US" w:eastAsia="zh-CN" w:bidi="ar-SA"/>
        </w:rPr>
        <w:t>。</w:t>
      </w:r>
    </w:p>
    <w:p w14:paraId="414C1496">
      <w:pPr>
        <w:rPr>
          <w:rFonts w:hint="eastAsia" w:ascii="仿宋" w:hAnsi="仿宋" w:eastAsia="仿宋" w:cs="仿宋"/>
          <w:b/>
          <w:sz w:val="28"/>
          <w:szCs w:val="28"/>
          <w:highlight w:val="yellow"/>
        </w:rPr>
      </w:pPr>
      <w:r>
        <w:rPr>
          <w:rFonts w:hint="eastAsia" w:ascii="仿宋" w:hAnsi="仿宋" w:eastAsia="仿宋" w:cs="仿宋"/>
          <w:b/>
          <w:sz w:val="28"/>
          <w:szCs w:val="28"/>
          <w:highlight w:val="yellow"/>
        </w:rPr>
        <w:br w:type="page"/>
      </w:r>
    </w:p>
    <w:p w14:paraId="47844709">
      <w:pPr>
        <w:spacing w:line="360" w:lineRule="auto"/>
        <w:jc w:val="left"/>
        <w:rPr>
          <w:rFonts w:hint="eastAsia" w:ascii="仿宋" w:hAnsi="仿宋" w:eastAsia="仿宋" w:cs="仿宋"/>
          <w:bCs/>
          <w:sz w:val="24"/>
        </w:rPr>
      </w:pPr>
      <w:r>
        <w:rPr>
          <w:rFonts w:hint="eastAsia" w:ascii="仿宋" w:hAnsi="仿宋" w:eastAsia="仿宋" w:cs="仿宋"/>
          <w:bCs/>
          <w:sz w:val="24"/>
        </w:rPr>
        <w:t>附件2：</w:t>
      </w:r>
    </w:p>
    <w:p w14:paraId="3547C221">
      <w:pPr>
        <w:spacing w:line="360" w:lineRule="auto"/>
        <w:jc w:val="center"/>
        <w:outlineLvl w:val="1"/>
        <w:rPr>
          <w:rFonts w:hint="eastAsia" w:ascii="仿宋" w:hAnsi="仿宋" w:eastAsia="仿宋" w:cs="仿宋"/>
          <w:b/>
          <w:sz w:val="28"/>
          <w:szCs w:val="28"/>
        </w:rPr>
      </w:pPr>
      <w:r>
        <w:rPr>
          <w:rFonts w:hint="eastAsia" w:ascii="仿宋" w:hAnsi="仿宋" w:eastAsia="仿宋" w:cs="仿宋"/>
          <w:b/>
          <w:sz w:val="28"/>
          <w:szCs w:val="28"/>
        </w:rPr>
        <w:t>评标办法及评分标准</w:t>
      </w:r>
    </w:p>
    <w:p w14:paraId="2C57D85F">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为公正、公平、科学地选择中标人，根据《中华人民共和国政府采购法》等有关法律法规的规定，并结合本项目的实际，制定本办法。</w:t>
      </w:r>
    </w:p>
    <w:p w14:paraId="3CE48831">
      <w:pPr>
        <w:spacing w:line="360" w:lineRule="auto"/>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一、总则</w:t>
      </w:r>
    </w:p>
    <w:p w14:paraId="27CB5049">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本次评标采用综合评分法，合格投标人的评标得分为各项目汇总得分，按评标得分由高到低顺序排列，得分相同的，按投标报价由低到高顺序排列；得分且投标报价相同的，按技术得分由高到低顺序排列；得分仍相同的，由评标委员会决定。本项目由采购人授权评标委员会直接确定排名第一的投标人为中标人。投标文件满足招标文件全部实质性要求，且按照评审因素的量化指标评审得分最高的投标人为排名第一的中标候选人。排名依次类推，按照上述规定如出现并列情况，由评审委员会抽签决定中标候选人次序。评分过程中采用四舍五入法，并保留小数2位。</w:t>
      </w:r>
    </w:p>
    <w:p w14:paraId="6B2AFC65">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投标人评标综合得分=价格分+技术、商务、资信及其他分</w:t>
      </w:r>
    </w:p>
    <w:p w14:paraId="41E1E159">
      <w:pPr>
        <w:spacing w:line="360" w:lineRule="auto"/>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二、评标内容及标准</w:t>
      </w:r>
    </w:p>
    <w:p w14:paraId="29BA7FFF">
      <w:pPr>
        <w:spacing w:line="360" w:lineRule="auto"/>
        <w:ind w:firstLine="482" w:firstLineChars="200"/>
        <w:jc w:val="left"/>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1、价格分（</w:t>
      </w:r>
      <w:r>
        <w:rPr>
          <w:rFonts w:hint="eastAsia" w:ascii="仿宋" w:hAnsi="仿宋" w:eastAsia="仿宋" w:cs="仿宋"/>
          <w:b/>
          <w:bCs/>
          <w:color w:val="000000"/>
          <w:kern w:val="0"/>
          <w:sz w:val="24"/>
          <w:shd w:val="clear" w:color="auto" w:fill="FFFFFF"/>
          <w:lang w:val="en-US" w:eastAsia="zh-CN" w:bidi="ar"/>
        </w:rPr>
        <w:t>1</w:t>
      </w:r>
      <w:r>
        <w:rPr>
          <w:rFonts w:hint="eastAsia" w:ascii="仿宋" w:hAnsi="仿宋" w:eastAsia="仿宋" w:cs="仿宋"/>
          <w:b/>
          <w:bCs/>
          <w:color w:val="000000"/>
          <w:kern w:val="0"/>
          <w:sz w:val="24"/>
          <w:shd w:val="clear" w:color="auto" w:fill="FFFFFF"/>
          <w:lang w:bidi="ar"/>
        </w:rPr>
        <w:t>0分）</w:t>
      </w:r>
    </w:p>
    <w:p w14:paraId="265A5A23">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价格分采用低价优先法计算，取所有有效投标人中投标价格最低的投标报价为评标基准价，其他投标人的价格分按照下列公式计算：</w:t>
      </w:r>
    </w:p>
    <w:p w14:paraId="2B4A26AC">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价格分=（评标基准价/投标报价）×</w:t>
      </w:r>
      <w:r>
        <w:rPr>
          <w:rFonts w:hint="eastAsia" w:ascii="仿宋" w:hAnsi="仿宋" w:eastAsia="仿宋" w:cs="仿宋"/>
          <w:color w:val="000000"/>
          <w:kern w:val="0"/>
          <w:sz w:val="24"/>
          <w:shd w:val="clear" w:color="auto" w:fill="FFFFFF"/>
          <w:lang w:val="en-US" w:eastAsia="zh-CN" w:bidi="ar"/>
        </w:rPr>
        <w:t>1</w:t>
      </w:r>
      <w:r>
        <w:rPr>
          <w:rFonts w:hint="eastAsia" w:ascii="仿宋" w:hAnsi="仿宋" w:eastAsia="仿宋" w:cs="仿宋"/>
          <w:color w:val="000000"/>
          <w:kern w:val="0"/>
          <w:sz w:val="24"/>
          <w:shd w:val="clear" w:color="auto" w:fill="FFFFFF"/>
          <w:lang w:bidi="ar"/>
        </w:rPr>
        <w:t>0×100%</w:t>
      </w:r>
    </w:p>
    <w:p w14:paraId="74352137">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19763BFE">
      <w:pPr>
        <w:spacing w:line="360" w:lineRule="auto"/>
        <w:ind w:firstLine="482" w:firstLineChars="200"/>
        <w:jc w:val="left"/>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2、技术、商务、资信及其他分（</w:t>
      </w:r>
      <w:r>
        <w:rPr>
          <w:rFonts w:hint="eastAsia" w:ascii="仿宋" w:hAnsi="仿宋" w:eastAsia="仿宋" w:cs="仿宋"/>
          <w:b/>
          <w:bCs/>
          <w:color w:val="000000"/>
          <w:kern w:val="0"/>
          <w:sz w:val="24"/>
          <w:shd w:val="clear" w:color="auto" w:fill="FFFFFF"/>
          <w:lang w:val="en-US" w:eastAsia="zh-CN" w:bidi="ar"/>
        </w:rPr>
        <w:t>9</w:t>
      </w:r>
      <w:r>
        <w:rPr>
          <w:rFonts w:hint="eastAsia" w:ascii="仿宋" w:hAnsi="仿宋" w:eastAsia="仿宋" w:cs="仿宋"/>
          <w:b/>
          <w:bCs/>
          <w:color w:val="000000"/>
          <w:kern w:val="0"/>
          <w:sz w:val="24"/>
          <w:shd w:val="clear" w:color="auto" w:fill="FFFFFF"/>
          <w:lang w:bidi="ar"/>
        </w:rPr>
        <w:t>0分）</w:t>
      </w:r>
    </w:p>
    <w:p w14:paraId="4A2A643A">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技术、商务、资信及其他分按照评标委员会成员的独立评分结果汇总数的算术平均分计算，计算公式为:</w:t>
      </w:r>
    </w:p>
    <w:p w14:paraId="7862597B">
      <w:pPr>
        <w:spacing w:line="360" w:lineRule="auto"/>
        <w:ind w:firstLine="470" w:firstLineChars="196"/>
        <w:rPr>
          <w:rFonts w:ascii="仿宋_GB2312" w:eastAsia="仿宋_GB2312"/>
          <w:color w:val="auto"/>
          <w:sz w:val="24"/>
          <w:highlight w:val="none"/>
        </w:rPr>
        <w:sectPr>
          <w:pgSz w:w="11906" w:h="16838"/>
          <w:pgMar w:top="1134" w:right="1531" w:bottom="992" w:left="1531" w:header="851" w:footer="964" w:gutter="0"/>
          <w:cols w:space="720" w:num="1"/>
          <w:docGrid w:type="lines" w:linePitch="312" w:charSpace="0"/>
        </w:sectPr>
      </w:pPr>
      <w:r>
        <w:rPr>
          <w:rFonts w:hint="eastAsia" w:ascii="仿宋" w:hAnsi="仿宋" w:eastAsia="仿宋" w:cs="仿宋"/>
          <w:color w:val="000000"/>
          <w:kern w:val="0"/>
          <w:sz w:val="24"/>
          <w:shd w:val="clear" w:color="auto" w:fill="FFFFFF"/>
          <w:lang w:bidi="ar"/>
        </w:rPr>
        <w:t>技术、商务、资信及其他分=评标委员会所有成员评分合计数/评标委员会组成人员数</w:t>
      </w:r>
    </w:p>
    <w:p w14:paraId="21A0BFC3">
      <w:pPr>
        <w:ind w:firstLine="482" w:firstLineChars="200"/>
        <w:jc w:val="center"/>
        <w:rPr>
          <w:rFonts w:hint="eastAsia" w:ascii="仿宋" w:hAnsi="仿宋" w:eastAsia="仿宋" w:cs="仿宋"/>
          <w:b/>
          <w:bCs/>
          <w:color w:val="000000"/>
          <w:kern w:val="0"/>
          <w:sz w:val="24"/>
          <w:shd w:val="clear" w:color="auto" w:fill="FFFFFF"/>
          <w:lang w:bidi="ar"/>
        </w:rPr>
      </w:pPr>
    </w:p>
    <w:p w14:paraId="50A8835A">
      <w:pPr>
        <w:ind w:firstLine="482" w:firstLineChars="200"/>
        <w:jc w:val="center"/>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评分表（技术、商务、资信及其他分，共</w:t>
      </w:r>
      <w:r>
        <w:rPr>
          <w:rFonts w:hint="eastAsia" w:ascii="仿宋" w:hAnsi="仿宋" w:eastAsia="仿宋" w:cs="仿宋"/>
          <w:b/>
          <w:bCs/>
          <w:color w:val="000000"/>
          <w:kern w:val="0"/>
          <w:sz w:val="24"/>
          <w:shd w:val="clear" w:color="auto" w:fill="FFFFFF"/>
          <w:lang w:val="en-US" w:eastAsia="zh-CN" w:bidi="ar"/>
        </w:rPr>
        <w:t>9</w:t>
      </w:r>
      <w:r>
        <w:rPr>
          <w:rFonts w:hint="eastAsia" w:ascii="仿宋" w:hAnsi="仿宋" w:eastAsia="仿宋" w:cs="仿宋"/>
          <w:b/>
          <w:bCs/>
          <w:color w:val="000000"/>
          <w:kern w:val="0"/>
          <w:sz w:val="24"/>
          <w:shd w:val="clear" w:color="auto" w:fill="FFFFFF"/>
          <w:lang w:bidi="ar"/>
        </w:rPr>
        <w:t>0分）</w:t>
      </w:r>
    </w:p>
    <w:tbl>
      <w:tblPr>
        <w:tblStyle w:val="1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6"/>
        <w:gridCol w:w="1059"/>
        <w:gridCol w:w="6364"/>
        <w:gridCol w:w="876"/>
      </w:tblGrid>
      <w:tr w14:paraId="05C2C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756" w:type="dxa"/>
            <w:vAlign w:val="center"/>
          </w:tcPr>
          <w:p w14:paraId="1108F794">
            <w:pPr>
              <w:keepNext w:val="0"/>
              <w:keepLines w:val="0"/>
              <w:pageBreakBefore w:val="0"/>
              <w:suppressLineNumbers w:val="0"/>
              <w:kinsoku/>
              <w:wordWrap/>
              <w:overflowPunct/>
              <w:topLinePunct w:val="0"/>
              <w:autoSpaceDE/>
              <w:autoSpaceDN/>
              <w:bidi w:val="0"/>
              <w:spacing w:before="0" w:beforeAutospacing="0" w:after="0" w:afterAutospacing="0" w:line="400" w:lineRule="atLeast"/>
              <w:ind w:left="0" w:leftChars="0" w:right="0" w:rightChars="0"/>
              <w:jc w:val="both"/>
              <w:textAlignment w:val="auto"/>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sz w:val="24"/>
                <w:szCs w:val="24"/>
              </w:rPr>
              <w:t>序号</w:t>
            </w:r>
          </w:p>
        </w:tc>
        <w:tc>
          <w:tcPr>
            <w:tcW w:w="1059" w:type="dxa"/>
            <w:vAlign w:val="center"/>
          </w:tcPr>
          <w:p w14:paraId="47A11914">
            <w:pPr>
              <w:keepNext w:val="0"/>
              <w:keepLines w:val="0"/>
              <w:pageBreakBefore w:val="0"/>
              <w:suppressLineNumbers w:val="0"/>
              <w:kinsoku/>
              <w:wordWrap/>
              <w:overflowPunct/>
              <w:topLinePunct w:val="0"/>
              <w:autoSpaceDE/>
              <w:autoSpaceDN/>
              <w:bidi w:val="0"/>
              <w:spacing w:before="0" w:beforeAutospacing="0" w:after="0" w:afterAutospacing="0" w:line="400" w:lineRule="atLeast"/>
              <w:ind w:left="0" w:leftChars="0" w:right="0" w:rightChars="0"/>
              <w:jc w:val="both"/>
              <w:textAlignment w:val="auto"/>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sz w:val="24"/>
                <w:szCs w:val="24"/>
              </w:rPr>
              <w:t>评分项</w:t>
            </w:r>
          </w:p>
        </w:tc>
        <w:tc>
          <w:tcPr>
            <w:tcW w:w="6364" w:type="dxa"/>
            <w:vAlign w:val="center"/>
          </w:tcPr>
          <w:p w14:paraId="6427A855">
            <w:pPr>
              <w:keepNext w:val="0"/>
              <w:keepLines w:val="0"/>
              <w:pageBreakBefore w:val="0"/>
              <w:suppressLineNumbers w:val="0"/>
              <w:kinsoku/>
              <w:wordWrap/>
              <w:overflowPunct/>
              <w:topLinePunct w:val="0"/>
              <w:autoSpaceDE/>
              <w:autoSpaceDN/>
              <w:bidi w:val="0"/>
              <w:spacing w:before="0" w:beforeAutospacing="0" w:after="0" w:afterAutospacing="0" w:line="400" w:lineRule="atLeast"/>
              <w:ind w:left="0" w:leftChars="0" w:right="0" w:rightChars="0"/>
              <w:jc w:val="center"/>
              <w:textAlignment w:val="auto"/>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sz w:val="24"/>
                <w:szCs w:val="24"/>
              </w:rPr>
              <w:t>评分细则</w:t>
            </w:r>
          </w:p>
        </w:tc>
        <w:tc>
          <w:tcPr>
            <w:tcW w:w="876" w:type="dxa"/>
            <w:vAlign w:val="center"/>
          </w:tcPr>
          <w:p w14:paraId="387C895C">
            <w:pPr>
              <w:keepNext w:val="0"/>
              <w:keepLines w:val="0"/>
              <w:pageBreakBefore w:val="0"/>
              <w:suppressLineNumbers w:val="0"/>
              <w:kinsoku/>
              <w:wordWrap/>
              <w:overflowPunct/>
              <w:topLinePunct w:val="0"/>
              <w:autoSpaceDE/>
              <w:autoSpaceDN/>
              <w:bidi w:val="0"/>
              <w:spacing w:before="0" w:beforeAutospacing="0" w:after="0" w:afterAutospacing="0" w:line="400" w:lineRule="atLeast"/>
              <w:ind w:left="0" w:leftChars="0" w:right="0" w:rightChars="0"/>
              <w:jc w:val="center"/>
              <w:textAlignment w:val="auto"/>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sz w:val="24"/>
                <w:szCs w:val="24"/>
              </w:rPr>
              <w:t>分值（分）</w:t>
            </w:r>
          </w:p>
        </w:tc>
      </w:tr>
      <w:tr w14:paraId="57C0C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9055" w:type="dxa"/>
            <w:gridSpan w:val="4"/>
            <w:vAlign w:val="center"/>
          </w:tcPr>
          <w:p w14:paraId="0DF3CF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left="0" w:right="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技术分（68分）</w:t>
            </w:r>
          </w:p>
        </w:tc>
      </w:tr>
      <w:tr w14:paraId="6CA25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3" w:hRule="atLeast"/>
        </w:trPr>
        <w:tc>
          <w:tcPr>
            <w:tcW w:w="756" w:type="dxa"/>
            <w:vAlign w:val="center"/>
          </w:tcPr>
          <w:p w14:paraId="26BE41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w:t>
            </w:r>
          </w:p>
        </w:tc>
        <w:tc>
          <w:tcPr>
            <w:tcW w:w="1059" w:type="dxa"/>
            <w:vAlign w:val="center"/>
          </w:tcPr>
          <w:p w14:paraId="01B943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技术性能指标</w:t>
            </w:r>
          </w:p>
        </w:tc>
        <w:tc>
          <w:tcPr>
            <w:tcW w:w="6364" w:type="dxa"/>
            <w:vAlign w:val="center"/>
          </w:tcPr>
          <w:p w14:paraId="67E7DC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right="0" w:firstLine="240" w:firstLineChars="100"/>
              <w:jc w:val="left"/>
              <w:textAlignment w:val="auto"/>
              <w:rPr>
                <w:rFonts w:hint="eastAsia" w:ascii="仿宋" w:hAnsi="仿宋" w:eastAsia="仿宋" w:cs="仿宋"/>
                <w:b/>
                <w:bCs/>
                <w:color w:val="auto"/>
                <w:sz w:val="24"/>
                <w:szCs w:val="24"/>
                <w:highlight w:val="none"/>
                <w:lang w:val="en-US" w:eastAsia="zh-CN"/>
              </w:rPr>
            </w:pPr>
            <w:r>
              <w:rPr>
                <w:rFonts w:hint="default" w:ascii="Times New Roman" w:hAnsi="Times New Roman" w:eastAsia="仿宋" w:cs="Times New Roman"/>
                <w:color w:val="auto"/>
                <w:sz w:val="24"/>
                <w:szCs w:val="24"/>
                <w:highlight w:val="none"/>
                <w:lang w:val="en-US" w:eastAsia="zh-CN"/>
              </w:rPr>
              <w:t>技术需求</w:t>
            </w:r>
            <w:r>
              <w:rPr>
                <w:rFonts w:hint="eastAsia" w:ascii="Times New Roman" w:hAnsi="Times New Roman" w:eastAsia="仿宋" w:cs="Times New Roman"/>
                <w:color w:val="auto"/>
                <w:sz w:val="24"/>
                <w:szCs w:val="24"/>
                <w:highlight w:val="none"/>
                <w:lang w:val="en-US" w:eastAsia="zh-CN"/>
              </w:rPr>
              <w:t>和商务需求</w:t>
            </w:r>
            <w:r>
              <w:rPr>
                <w:rFonts w:hint="default" w:ascii="Times New Roman" w:hAnsi="Times New Roman" w:eastAsia="仿宋" w:cs="Times New Roman"/>
                <w:color w:val="auto"/>
                <w:sz w:val="24"/>
                <w:szCs w:val="24"/>
                <w:highlight w:val="none"/>
                <w:lang w:val="en-US" w:eastAsia="zh-CN"/>
              </w:rPr>
              <w:t>中，不符合（负偏离）技术要求中标注“</w:t>
            </w:r>
            <w:r>
              <w:rPr>
                <w:rFonts w:hint="eastAsia" w:ascii="Times New Roman" w:hAnsi="Times New Roman" w:eastAsia="仿宋" w:cs="Times New Roman"/>
                <w:color w:val="auto"/>
                <w:sz w:val="24"/>
                <w:highlight w:val="none"/>
                <w:lang w:eastAsia="zh-CN"/>
              </w:rPr>
              <w:t>▲</w:t>
            </w:r>
            <w:r>
              <w:rPr>
                <w:rFonts w:hint="default" w:ascii="Times New Roman" w:hAnsi="Times New Roman" w:eastAsia="仿宋" w:cs="Times New Roman"/>
                <w:color w:val="auto"/>
                <w:sz w:val="24"/>
                <w:szCs w:val="24"/>
                <w:highlight w:val="none"/>
                <w:lang w:val="en-US" w:eastAsia="zh-CN"/>
              </w:rPr>
              <w:t>”条款（不可偏离）的投标无效；满足招标文件明确的全部技术条款要求的，得满分；</w:t>
            </w:r>
            <w:r>
              <w:rPr>
                <w:rFonts w:hint="eastAsia" w:ascii="仿宋" w:hAnsi="仿宋" w:eastAsia="仿宋" w:cs="仿宋"/>
                <w:color w:val="auto"/>
                <w:sz w:val="24"/>
                <w:szCs w:val="24"/>
                <w:highlight w:val="none"/>
                <w:lang w:val="en-US" w:eastAsia="zh-CN"/>
              </w:rPr>
              <w:t>参数低于招标文件要求的每项扣1分，扣完为止。</w:t>
            </w:r>
          </w:p>
          <w:p w14:paraId="3A8CC3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right="0" w:firstLine="241" w:firstLineChars="1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需提供需求响应表和商务响应表，不提供不得分。</w:t>
            </w:r>
          </w:p>
        </w:tc>
        <w:tc>
          <w:tcPr>
            <w:tcW w:w="876" w:type="dxa"/>
            <w:vAlign w:val="center"/>
          </w:tcPr>
          <w:p w14:paraId="247D45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20分</w:t>
            </w:r>
          </w:p>
        </w:tc>
      </w:tr>
      <w:tr w14:paraId="12705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2" w:hRule="atLeast"/>
        </w:trPr>
        <w:tc>
          <w:tcPr>
            <w:tcW w:w="756" w:type="dxa"/>
            <w:vAlign w:val="center"/>
          </w:tcPr>
          <w:p w14:paraId="7FD8F6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w:t>
            </w:r>
          </w:p>
        </w:tc>
        <w:tc>
          <w:tcPr>
            <w:tcW w:w="1059" w:type="dxa"/>
            <w:vAlign w:val="center"/>
          </w:tcPr>
          <w:p w14:paraId="5C1AC0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项目理解分析</w:t>
            </w:r>
          </w:p>
        </w:tc>
        <w:tc>
          <w:tcPr>
            <w:tcW w:w="6364" w:type="dxa"/>
            <w:vAlign w:val="center"/>
          </w:tcPr>
          <w:p w14:paraId="4EECC4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right="0" w:firstLine="240" w:firstLineChars="1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根据对项目建设内容的了解程度，投标方案对项目建设背景、业务现状及分析、建设目标、项目需求的理解，并且能够在投标文件中予以体现，按其响应程度打分。</w:t>
            </w:r>
          </w:p>
          <w:p w14:paraId="3BB427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right="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（评分档次：0、1、2、3、4、5、6、7）</w:t>
            </w:r>
          </w:p>
          <w:p w14:paraId="33A3D7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right="0" w:firstLine="241" w:firstLineChars="1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以上方案不提供不得分。</w:t>
            </w:r>
          </w:p>
        </w:tc>
        <w:tc>
          <w:tcPr>
            <w:tcW w:w="876" w:type="dxa"/>
            <w:vAlign w:val="center"/>
          </w:tcPr>
          <w:p w14:paraId="142C00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right="0"/>
              <w:jc w:val="center"/>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7分</w:t>
            </w:r>
          </w:p>
        </w:tc>
      </w:tr>
      <w:tr w14:paraId="5FAD3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6" w:type="dxa"/>
            <w:vAlign w:val="center"/>
          </w:tcPr>
          <w:p w14:paraId="0C37ABB3">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rPr>
              <w:t>3</w:t>
            </w:r>
          </w:p>
        </w:tc>
        <w:tc>
          <w:tcPr>
            <w:tcW w:w="1059" w:type="dxa"/>
            <w:vAlign w:val="center"/>
          </w:tcPr>
          <w:p w14:paraId="0CA36145">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Cs/>
                <w:color w:val="auto"/>
                <w:sz w:val="24"/>
                <w:szCs w:val="24"/>
                <w:highlight w:val="none"/>
              </w:rPr>
              <w:t>项目实施方案</w:t>
            </w:r>
          </w:p>
        </w:tc>
        <w:tc>
          <w:tcPr>
            <w:tcW w:w="6364" w:type="dxa"/>
            <w:vAlign w:val="center"/>
          </w:tcPr>
          <w:p w14:paraId="2C740E1B">
            <w:pPr>
              <w:keepNext w:val="0"/>
              <w:keepLines w:val="0"/>
              <w:pageBreakBefore w:val="0"/>
              <w:widowControl/>
              <w:kinsoku/>
              <w:wordWrap/>
              <w:overflowPunct/>
              <w:topLinePunct w:val="0"/>
              <w:autoSpaceDE/>
              <w:autoSpaceDN/>
              <w:bidi w:val="0"/>
              <w:snapToGrid w:val="0"/>
              <w:spacing w:line="400" w:lineRule="atLeast"/>
              <w:ind w:firstLine="241" w:firstLineChars="100"/>
              <w:jc w:val="left"/>
              <w:textAlignment w:val="auto"/>
              <w:rPr>
                <w:rFonts w:hint="eastAsia" w:ascii="仿宋" w:hAnsi="仿宋" w:eastAsia="仿宋" w:cs="仿宋"/>
                <w:color w:val="auto"/>
                <w:kern w:val="0"/>
                <w:sz w:val="24"/>
                <w:szCs w:val="24"/>
                <w:highlight w:val="none"/>
                <w:lang w:val="en-US" w:eastAsia="zh-CN" w:bidi="ar"/>
              </w:rPr>
            </w:pPr>
            <w:r>
              <w:rPr>
                <w:rFonts w:hint="eastAsia" w:ascii="仿宋" w:hAnsi="仿宋" w:eastAsia="仿宋" w:cs="仿宋"/>
                <w:b/>
                <w:bCs/>
                <w:color w:val="auto"/>
                <w:kern w:val="0"/>
                <w:sz w:val="24"/>
                <w:szCs w:val="24"/>
                <w:highlight w:val="none"/>
                <w:lang w:eastAsia="zh-CN" w:bidi="ar"/>
              </w:rPr>
              <w:t>（</w:t>
            </w:r>
            <w:r>
              <w:rPr>
                <w:rFonts w:hint="eastAsia" w:ascii="仿宋" w:hAnsi="仿宋" w:eastAsia="仿宋" w:cs="仿宋"/>
                <w:b/>
                <w:bCs/>
                <w:color w:val="auto"/>
                <w:kern w:val="0"/>
                <w:sz w:val="24"/>
                <w:szCs w:val="24"/>
                <w:highlight w:val="none"/>
                <w:lang w:val="en-US" w:eastAsia="zh-CN" w:bidi="ar"/>
              </w:rPr>
              <w:t>1</w:t>
            </w:r>
            <w:r>
              <w:rPr>
                <w:rFonts w:hint="eastAsia" w:ascii="仿宋" w:hAnsi="仿宋" w:eastAsia="仿宋" w:cs="仿宋"/>
                <w:b/>
                <w:bCs/>
                <w:color w:val="auto"/>
                <w:kern w:val="0"/>
                <w:sz w:val="24"/>
                <w:szCs w:val="24"/>
                <w:highlight w:val="none"/>
                <w:lang w:eastAsia="zh-CN" w:bidi="ar"/>
              </w:rPr>
              <w:t>）</w:t>
            </w:r>
            <w:r>
              <w:rPr>
                <w:rFonts w:hint="eastAsia" w:ascii="仿宋" w:hAnsi="仿宋" w:eastAsia="仿宋" w:cs="仿宋"/>
                <w:color w:val="auto"/>
                <w:kern w:val="0"/>
                <w:sz w:val="24"/>
                <w:szCs w:val="24"/>
                <w:highlight w:val="none"/>
                <w:lang w:val="en-US" w:eastAsia="zh-CN" w:bidi="ar"/>
              </w:rPr>
              <w:t>根据</w:t>
            </w:r>
            <w:r>
              <w:rPr>
                <w:rFonts w:hint="eastAsia" w:ascii="仿宋" w:hAnsi="仿宋" w:eastAsia="仿宋" w:cs="仿宋"/>
                <w:color w:val="auto"/>
                <w:kern w:val="0"/>
                <w:sz w:val="24"/>
                <w:szCs w:val="24"/>
                <w:highlight w:val="none"/>
                <w:lang w:bidi="ar"/>
              </w:rPr>
              <w:t>实施方案</w:t>
            </w:r>
            <w:r>
              <w:rPr>
                <w:rFonts w:hint="eastAsia" w:ascii="仿宋" w:hAnsi="仿宋" w:eastAsia="仿宋" w:cs="仿宋"/>
                <w:color w:val="auto"/>
                <w:kern w:val="0"/>
                <w:sz w:val="24"/>
                <w:szCs w:val="24"/>
                <w:highlight w:val="none"/>
                <w:lang w:val="en-US" w:eastAsia="zh-CN" w:bidi="ar"/>
              </w:rPr>
              <w:t>是否</w:t>
            </w:r>
            <w:r>
              <w:rPr>
                <w:rFonts w:hint="eastAsia" w:ascii="仿宋" w:hAnsi="仿宋" w:eastAsia="仿宋" w:cs="仿宋"/>
                <w:color w:val="auto"/>
                <w:kern w:val="0"/>
                <w:sz w:val="24"/>
                <w:szCs w:val="24"/>
                <w:highlight w:val="none"/>
                <w:lang w:bidi="ar"/>
              </w:rPr>
              <w:t>全面，具有合理的进度安排、组织架构，具有良好的进度控制、风险控制管理、质量保障措施、信息安全管理措施、文档管理措施</w:t>
            </w:r>
            <w:r>
              <w:rPr>
                <w:rFonts w:hint="eastAsia" w:ascii="仿宋" w:hAnsi="仿宋" w:eastAsia="仿宋" w:cs="仿宋"/>
                <w:color w:val="auto"/>
                <w:kern w:val="0"/>
                <w:sz w:val="24"/>
                <w:szCs w:val="24"/>
                <w:highlight w:val="none"/>
                <w:lang w:val="en-US" w:eastAsia="zh-CN" w:bidi="ar"/>
              </w:rPr>
              <w:t>等内容进行</w:t>
            </w:r>
            <w:r>
              <w:rPr>
                <w:rFonts w:hint="eastAsia" w:ascii="仿宋" w:hAnsi="仿宋" w:eastAsia="仿宋" w:cs="仿宋"/>
                <w:color w:val="auto"/>
                <w:kern w:val="0"/>
                <w:sz w:val="24"/>
                <w:szCs w:val="24"/>
                <w:highlight w:val="none"/>
                <w:lang w:eastAsia="zh-CN" w:bidi="ar"/>
              </w:rPr>
              <w:t>综合</w:t>
            </w:r>
            <w:r>
              <w:rPr>
                <w:rFonts w:hint="eastAsia" w:ascii="仿宋" w:hAnsi="仿宋" w:eastAsia="仿宋" w:cs="仿宋"/>
                <w:color w:val="auto"/>
                <w:kern w:val="0"/>
                <w:sz w:val="24"/>
                <w:szCs w:val="24"/>
                <w:highlight w:val="none"/>
                <w:lang w:val="en-US" w:eastAsia="zh-CN" w:bidi="ar"/>
              </w:rPr>
              <w:t>评分：</w:t>
            </w:r>
          </w:p>
          <w:p w14:paraId="34DD4D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right="0"/>
              <w:jc w:val="left"/>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（评分档次：0、1、2、3、3.5、4、4.5、5）</w:t>
            </w:r>
          </w:p>
          <w:p w14:paraId="600063D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atLeast"/>
              <w:ind w:right="0" w:rightChars="0" w:firstLine="241" w:firstLineChars="100"/>
              <w:jc w:val="left"/>
              <w:textAlignment w:val="auto"/>
              <w:rPr>
                <w:rFonts w:hint="eastAsia" w:ascii="仿宋" w:hAnsi="仿宋" w:eastAsia="仿宋" w:cs="仿宋"/>
                <w:color w:val="auto"/>
                <w:kern w:val="0"/>
                <w:sz w:val="24"/>
                <w:szCs w:val="24"/>
                <w:highlight w:val="none"/>
                <w:lang w:bidi="ar"/>
              </w:rPr>
            </w:pPr>
            <w:r>
              <w:rPr>
                <w:rFonts w:hint="eastAsia" w:ascii="仿宋" w:hAnsi="仿宋" w:eastAsia="仿宋" w:cs="仿宋"/>
                <w:b/>
                <w:bCs/>
                <w:color w:val="auto"/>
                <w:kern w:val="0"/>
                <w:sz w:val="24"/>
                <w:szCs w:val="24"/>
                <w:highlight w:val="none"/>
                <w:lang w:val="en-US" w:eastAsia="zh-CN" w:bidi="ar"/>
              </w:rPr>
              <w:t>（2）</w:t>
            </w:r>
            <w:r>
              <w:rPr>
                <w:rFonts w:hint="eastAsia" w:ascii="仿宋" w:hAnsi="仿宋" w:eastAsia="仿宋" w:cs="仿宋"/>
                <w:color w:val="auto"/>
                <w:kern w:val="0"/>
                <w:sz w:val="24"/>
                <w:szCs w:val="24"/>
                <w:highlight w:val="none"/>
                <w:lang w:val="en-US" w:eastAsia="zh-CN" w:bidi="ar"/>
              </w:rPr>
              <w:t>根据</w:t>
            </w:r>
            <w:r>
              <w:rPr>
                <w:rFonts w:hint="eastAsia" w:ascii="仿宋" w:hAnsi="仿宋" w:eastAsia="仿宋" w:cs="仿宋"/>
                <w:color w:val="auto"/>
                <w:kern w:val="0"/>
                <w:sz w:val="24"/>
                <w:szCs w:val="24"/>
                <w:highlight w:val="none"/>
                <w:lang w:bidi="ar"/>
              </w:rPr>
              <w:t>安全性设计</w:t>
            </w:r>
            <w:r>
              <w:rPr>
                <w:rFonts w:hint="eastAsia" w:ascii="仿宋" w:hAnsi="仿宋" w:eastAsia="仿宋" w:cs="仿宋"/>
                <w:color w:val="auto"/>
                <w:kern w:val="0"/>
                <w:sz w:val="24"/>
                <w:szCs w:val="24"/>
                <w:highlight w:val="none"/>
                <w:lang w:val="en-US" w:eastAsia="zh-CN" w:bidi="ar"/>
              </w:rPr>
              <w:t>是否</w:t>
            </w:r>
            <w:r>
              <w:rPr>
                <w:rFonts w:hint="eastAsia" w:ascii="仿宋" w:hAnsi="仿宋" w:eastAsia="仿宋" w:cs="仿宋"/>
                <w:color w:val="auto"/>
                <w:kern w:val="0"/>
                <w:sz w:val="24"/>
                <w:szCs w:val="24"/>
                <w:highlight w:val="none"/>
                <w:lang w:bidi="ar"/>
              </w:rPr>
              <w:t>全面科学，关键性技术问题的认识</w:t>
            </w:r>
            <w:r>
              <w:rPr>
                <w:rFonts w:hint="eastAsia" w:ascii="仿宋" w:hAnsi="仿宋" w:eastAsia="仿宋" w:cs="仿宋"/>
                <w:color w:val="auto"/>
                <w:kern w:val="0"/>
                <w:sz w:val="24"/>
                <w:szCs w:val="24"/>
                <w:highlight w:val="none"/>
                <w:lang w:val="en-US" w:eastAsia="zh-CN" w:bidi="ar"/>
              </w:rPr>
              <w:t>是否</w:t>
            </w:r>
            <w:r>
              <w:rPr>
                <w:rFonts w:hint="eastAsia" w:ascii="仿宋" w:hAnsi="仿宋" w:eastAsia="仿宋" w:cs="仿宋"/>
                <w:color w:val="auto"/>
                <w:kern w:val="0"/>
                <w:sz w:val="24"/>
                <w:szCs w:val="24"/>
                <w:highlight w:val="none"/>
                <w:lang w:bidi="ar"/>
              </w:rPr>
              <w:t>清晰，应对措施</w:t>
            </w:r>
            <w:r>
              <w:rPr>
                <w:rFonts w:hint="eastAsia" w:ascii="仿宋" w:hAnsi="仿宋" w:eastAsia="仿宋" w:cs="仿宋"/>
                <w:color w:val="auto"/>
                <w:kern w:val="0"/>
                <w:sz w:val="24"/>
                <w:szCs w:val="24"/>
                <w:highlight w:val="none"/>
                <w:lang w:val="en-US" w:eastAsia="zh-CN" w:bidi="ar"/>
              </w:rPr>
              <w:t>是否</w:t>
            </w:r>
            <w:r>
              <w:rPr>
                <w:rFonts w:hint="eastAsia" w:ascii="仿宋" w:hAnsi="仿宋" w:eastAsia="仿宋" w:cs="仿宋"/>
                <w:color w:val="auto"/>
                <w:kern w:val="0"/>
                <w:sz w:val="24"/>
                <w:szCs w:val="24"/>
                <w:highlight w:val="none"/>
                <w:lang w:bidi="ar"/>
              </w:rPr>
              <w:t>合理可行</w:t>
            </w:r>
            <w:r>
              <w:rPr>
                <w:rFonts w:hint="eastAsia" w:ascii="仿宋" w:hAnsi="仿宋" w:eastAsia="仿宋" w:cs="仿宋"/>
                <w:color w:val="auto"/>
                <w:kern w:val="0"/>
                <w:sz w:val="24"/>
                <w:szCs w:val="24"/>
                <w:highlight w:val="none"/>
                <w:lang w:val="en-US" w:eastAsia="zh-CN" w:bidi="ar"/>
              </w:rPr>
              <w:t>等内容进行</w:t>
            </w:r>
            <w:r>
              <w:rPr>
                <w:rFonts w:hint="eastAsia" w:ascii="仿宋" w:hAnsi="仿宋" w:eastAsia="仿宋" w:cs="仿宋"/>
                <w:color w:val="auto"/>
                <w:kern w:val="0"/>
                <w:sz w:val="24"/>
                <w:szCs w:val="24"/>
                <w:highlight w:val="none"/>
                <w:lang w:eastAsia="zh-CN" w:bidi="ar"/>
              </w:rPr>
              <w:t>综合</w:t>
            </w:r>
            <w:r>
              <w:rPr>
                <w:rFonts w:hint="eastAsia" w:ascii="仿宋" w:hAnsi="仿宋" w:eastAsia="仿宋" w:cs="仿宋"/>
                <w:color w:val="auto"/>
                <w:kern w:val="0"/>
                <w:sz w:val="24"/>
                <w:szCs w:val="24"/>
                <w:highlight w:val="none"/>
                <w:lang w:val="en-US" w:eastAsia="zh-CN" w:bidi="ar"/>
              </w:rPr>
              <w:t>评分：</w:t>
            </w:r>
          </w:p>
          <w:p w14:paraId="4919D30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00" w:lineRule="atLeast"/>
              <w:ind w:right="0" w:rightChars="0"/>
              <w:jc w:val="left"/>
              <w:textAlignment w:val="auto"/>
              <w:rPr>
                <w:rFonts w:hint="eastAsia" w:ascii="仿宋" w:hAnsi="仿宋" w:eastAsia="仿宋" w:cs="仿宋"/>
                <w:b/>
                <w:bCs/>
                <w:color w:val="auto"/>
                <w:kern w:val="0"/>
                <w:sz w:val="24"/>
                <w:szCs w:val="24"/>
                <w:highlight w:val="none"/>
                <w:lang w:bidi="ar"/>
              </w:rPr>
            </w:pPr>
            <w:r>
              <w:rPr>
                <w:rFonts w:hint="eastAsia" w:ascii="仿宋" w:hAnsi="仿宋" w:eastAsia="仿宋" w:cs="仿宋"/>
                <w:b/>
                <w:bCs/>
                <w:color w:val="auto"/>
                <w:sz w:val="24"/>
                <w:szCs w:val="24"/>
                <w:highlight w:val="none"/>
                <w:lang w:val="en-US" w:eastAsia="zh-CN"/>
              </w:rPr>
              <w:t>（评分档次：0、1、2、3、3.5、4、4.5、5）</w:t>
            </w:r>
          </w:p>
          <w:p w14:paraId="4296BA5F">
            <w:pPr>
              <w:keepNext w:val="0"/>
              <w:keepLines w:val="0"/>
              <w:pageBreakBefore w:val="0"/>
              <w:widowControl/>
              <w:numPr>
                <w:ilvl w:val="0"/>
                <w:numId w:val="0"/>
              </w:numPr>
              <w:kinsoku/>
              <w:wordWrap/>
              <w:overflowPunct/>
              <w:topLinePunct w:val="0"/>
              <w:autoSpaceDE/>
              <w:autoSpaceDN/>
              <w:bidi w:val="0"/>
              <w:snapToGrid w:val="0"/>
              <w:spacing w:line="400" w:lineRule="atLeast"/>
              <w:ind w:firstLine="241" w:firstLineChars="100"/>
              <w:jc w:val="left"/>
              <w:textAlignment w:val="auto"/>
              <w:rPr>
                <w:rFonts w:hint="eastAsia" w:ascii="仿宋" w:hAnsi="仿宋" w:eastAsia="仿宋" w:cs="仿宋"/>
                <w:color w:val="auto"/>
                <w:kern w:val="0"/>
                <w:sz w:val="24"/>
                <w:szCs w:val="24"/>
                <w:highlight w:val="none"/>
                <w:lang w:eastAsia="zh-CN" w:bidi="ar"/>
              </w:rPr>
            </w:pPr>
            <w:r>
              <w:rPr>
                <w:rFonts w:hint="eastAsia" w:ascii="仿宋" w:hAnsi="仿宋" w:eastAsia="仿宋" w:cs="仿宋"/>
                <w:b/>
                <w:bCs/>
                <w:color w:val="auto"/>
                <w:kern w:val="0"/>
                <w:sz w:val="24"/>
                <w:szCs w:val="24"/>
                <w:highlight w:val="none"/>
                <w:lang w:val="en-US" w:eastAsia="zh-CN" w:bidi="ar"/>
              </w:rPr>
              <w:t>（3）</w:t>
            </w:r>
            <w:r>
              <w:rPr>
                <w:rFonts w:hint="eastAsia" w:ascii="仿宋" w:hAnsi="仿宋" w:eastAsia="仿宋" w:cs="仿宋"/>
                <w:color w:val="auto"/>
                <w:kern w:val="0"/>
                <w:sz w:val="24"/>
                <w:szCs w:val="24"/>
                <w:highlight w:val="none"/>
                <w:lang w:val="en-US" w:eastAsia="zh-CN" w:bidi="ar"/>
              </w:rPr>
              <w:t>根据</w:t>
            </w:r>
            <w:r>
              <w:rPr>
                <w:rFonts w:hint="eastAsia" w:ascii="仿宋" w:hAnsi="仿宋" w:eastAsia="仿宋" w:cs="仿宋"/>
                <w:color w:val="auto"/>
                <w:kern w:val="0"/>
                <w:sz w:val="24"/>
                <w:szCs w:val="24"/>
                <w:highlight w:val="none"/>
                <w:lang w:bidi="ar"/>
              </w:rPr>
              <w:t>投标人保证工期的方案和措施：确保项目交货期、施工组织机构和分工安排</w:t>
            </w:r>
            <w:r>
              <w:rPr>
                <w:rFonts w:hint="eastAsia" w:ascii="仿宋" w:hAnsi="仿宋" w:eastAsia="仿宋" w:cs="仿宋"/>
                <w:color w:val="auto"/>
                <w:kern w:val="0"/>
                <w:sz w:val="24"/>
                <w:szCs w:val="24"/>
                <w:highlight w:val="none"/>
                <w:lang w:eastAsia="zh-CN" w:bidi="ar"/>
              </w:rPr>
              <w:t>，根据</w:t>
            </w:r>
            <w:r>
              <w:rPr>
                <w:rFonts w:hint="eastAsia" w:ascii="仿宋" w:hAnsi="仿宋" w:eastAsia="仿宋" w:cs="仿宋"/>
                <w:color w:val="auto"/>
                <w:kern w:val="0"/>
                <w:sz w:val="24"/>
                <w:szCs w:val="24"/>
                <w:highlight w:val="none"/>
                <w:lang w:bidi="ar"/>
              </w:rPr>
              <w:t>项目过程中各阶段划分</w:t>
            </w:r>
            <w:r>
              <w:rPr>
                <w:rFonts w:hint="eastAsia" w:ascii="仿宋" w:hAnsi="仿宋" w:eastAsia="仿宋" w:cs="仿宋"/>
                <w:color w:val="auto"/>
                <w:kern w:val="0"/>
                <w:sz w:val="24"/>
                <w:szCs w:val="24"/>
                <w:highlight w:val="none"/>
                <w:lang w:eastAsia="zh-CN" w:bidi="ar"/>
              </w:rPr>
              <w:t>、</w:t>
            </w:r>
            <w:r>
              <w:rPr>
                <w:rFonts w:hint="eastAsia" w:ascii="仿宋" w:hAnsi="仿宋" w:eastAsia="仿宋" w:cs="仿宋"/>
                <w:color w:val="auto"/>
                <w:kern w:val="0"/>
                <w:sz w:val="24"/>
                <w:szCs w:val="24"/>
                <w:highlight w:val="none"/>
                <w:lang w:bidi="ar"/>
              </w:rPr>
              <w:t>控制等方案和措施</w:t>
            </w:r>
            <w:r>
              <w:rPr>
                <w:rFonts w:hint="eastAsia" w:ascii="仿宋" w:hAnsi="仿宋" w:eastAsia="仿宋" w:cs="仿宋"/>
                <w:color w:val="auto"/>
                <w:kern w:val="0"/>
                <w:sz w:val="24"/>
                <w:szCs w:val="24"/>
                <w:highlight w:val="none"/>
                <w:lang w:eastAsia="zh-CN" w:bidi="ar"/>
              </w:rPr>
              <w:t>是否</w:t>
            </w:r>
            <w:r>
              <w:rPr>
                <w:rFonts w:hint="eastAsia" w:ascii="仿宋" w:hAnsi="仿宋" w:eastAsia="仿宋" w:cs="仿宋"/>
                <w:color w:val="auto"/>
                <w:kern w:val="0"/>
                <w:sz w:val="24"/>
                <w:szCs w:val="24"/>
                <w:highlight w:val="none"/>
                <w:lang w:bidi="ar"/>
              </w:rPr>
              <w:t>切实可行</w:t>
            </w:r>
            <w:r>
              <w:rPr>
                <w:rFonts w:hint="eastAsia" w:ascii="仿宋" w:hAnsi="仿宋" w:eastAsia="仿宋" w:cs="仿宋"/>
                <w:color w:val="auto"/>
                <w:kern w:val="0"/>
                <w:sz w:val="24"/>
                <w:szCs w:val="24"/>
                <w:highlight w:val="none"/>
                <w:lang w:val="en-US" w:eastAsia="zh-CN" w:bidi="ar"/>
              </w:rPr>
              <w:t>等内容</w:t>
            </w:r>
            <w:r>
              <w:rPr>
                <w:rFonts w:hint="eastAsia" w:ascii="仿宋" w:hAnsi="仿宋" w:eastAsia="仿宋" w:cs="仿宋"/>
                <w:color w:val="auto"/>
                <w:kern w:val="0"/>
                <w:sz w:val="24"/>
                <w:szCs w:val="24"/>
                <w:highlight w:val="none"/>
                <w:lang w:eastAsia="zh-CN" w:bidi="ar"/>
              </w:rPr>
              <w:t>进行综合评分：</w:t>
            </w:r>
          </w:p>
          <w:p w14:paraId="45E5F687">
            <w:pPr>
              <w:keepNext w:val="0"/>
              <w:keepLines w:val="0"/>
              <w:pageBreakBefore w:val="0"/>
              <w:widowControl/>
              <w:numPr>
                <w:ilvl w:val="0"/>
                <w:numId w:val="0"/>
              </w:numPr>
              <w:kinsoku/>
              <w:wordWrap/>
              <w:overflowPunct/>
              <w:topLinePunct w:val="0"/>
              <w:autoSpaceDE/>
              <w:autoSpaceDN/>
              <w:bidi w:val="0"/>
              <w:snapToGrid w:val="0"/>
              <w:spacing w:line="400" w:lineRule="atLeast"/>
              <w:ind w:leftChars="0"/>
              <w:jc w:val="left"/>
              <w:textAlignment w:val="auto"/>
              <w:rPr>
                <w:rFonts w:hint="eastAsia" w:ascii="仿宋" w:hAnsi="仿宋" w:eastAsia="仿宋" w:cs="仿宋"/>
                <w:b/>
                <w:bCs/>
                <w:color w:val="auto"/>
                <w:kern w:val="0"/>
                <w:sz w:val="24"/>
                <w:szCs w:val="24"/>
                <w:highlight w:val="none"/>
                <w:lang w:bidi="ar"/>
              </w:rPr>
            </w:pPr>
            <w:r>
              <w:rPr>
                <w:rFonts w:hint="eastAsia" w:ascii="仿宋" w:hAnsi="仿宋" w:eastAsia="仿宋" w:cs="仿宋"/>
                <w:b/>
                <w:bCs/>
                <w:color w:val="auto"/>
                <w:sz w:val="24"/>
                <w:szCs w:val="24"/>
                <w:highlight w:val="none"/>
                <w:lang w:val="en-US" w:eastAsia="zh-CN"/>
              </w:rPr>
              <w:t>（评分档次：0、1、2、3、3.5、4、4.5、5）</w:t>
            </w:r>
          </w:p>
          <w:p w14:paraId="75DBE824">
            <w:pPr>
              <w:keepNext w:val="0"/>
              <w:keepLines w:val="0"/>
              <w:pageBreakBefore w:val="0"/>
              <w:widowControl/>
              <w:kinsoku/>
              <w:wordWrap/>
              <w:overflowPunct/>
              <w:topLinePunct w:val="0"/>
              <w:autoSpaceDE/>
              <w:autoSpaceDN/>
              <w:bidi w:val="0"/>
              <w:snapToGrid w:val="0"/>
              <w:spacing w:line="400" w:lineRule="atLeast"/>
              <w:ind w:firstLine="241" w:firstLineChars="100"/>
              <w:jc w:val="left"/>
              <w:textAlignment w:val="auto"/>
              <w:rPr>
                <w:rFonts w:hint="eastAsia" w:ascii="仿宋" w:hAnsi="仿宋" w:eastAsia="仿宋" w:cs="仿宋"/>
                <w:color w:val="auto"/>
                <w:kern w:val="0"/>
                <w:sz w:val="24"/>
                <w:szCs w:val="24"/>
                <w:highlight w:val="none"/>
                <w:lang w:eastAsia="zh-CN" w:bidi="ar"/>
              </w:rPr>
            </w:pPr>
            <w:r>
              <w:rPr>
                <w:rFonts w:hint="eastAsia" w:ascii="仿宋" w:hAnsi="仿宋" w:eastAsia="仿宋" w:cs="仿宋"/>
                <w:b/>
                <w:bCs/>
                <w:color w:val="auto"/>
                <w:kern w:val="0"/>
                <w:sz w:val="24"/>
                <w:szCs w:val="24"/>
                <w:highlight w:val="none"/>
                <w:lang w:eastAsia="zh-CN" w:bidi="ar"/>
              </w:rPr>
              <w:t>（</w:t>
            </w:r>
            <w:r>
              <w:rPr>
                <w:rFonts w:hint="eastAsia" w:ascii="仿宋" w:hAnsi="仿宋" w:eastAsia="仿宋" w:cs="仿宋"/>
                <w:b/>
                <w:bCs/>
                <w:color w:val="auto"/>
                <w:kern w:val="0"/>
                <w:sz w:val="24"/>
                <w:szCs w:val="24"/>
                <w:highlight w:val="none"/>
                <w:lang w:val="en-US" w:eastAsia="zh-CN" w:bidi="ar"/>
              </w:rPr>
              <w:t>4</w:t>
            </w:r>
            <w:r>
              <w:rPr>
                <w:rFonts w:hint="eastAsia" w:ascii="仿宋" w:hAnsi="仿宋" w:eastAsia="仿宋" w:cs="仿宋"/>
                <w:b/>
                <w:bCs/>
                <w:color w:val="auto"/>
                <w:kern w:val="0"/>
                <w:sz w:val="24"/>
                <w:szCs w:val="24"/>
                <w:highlight w:val="none"/>
                <w:lang w:eastAsia="zh-CN" w:bidi="ar"/>
              </w:rPr>
              <w:t>）</w:t>
            </w:r>
            <w:r>
              <w:rPr>
                <w:rFonts w:hint="eastAsia" w:ascii="仿宋" w:hAnsi="仿宋" w:eastAsia="仿宋" w:cs="仿宋"/>
                <w:color w:val="auto"/>
                <w:kern w:val="0"/>
                <w:sz w:val="24"/>
                <w:szCs w:val="24"/>
                <w:highlight w:val="none"/>
                <w:lang w:val="en-US" w:eastAsia="zh-CN" w:bidi="ar"/>
              </w:rPr>
              <w:t>根据</w:t>
            </w:r>
            <w:r>
              <w:rPr>
                <w:rFonts w:hint="eastAsia" w:ascii="仿宋" w:hAnsi="仿宋" w:eastAsia="仿宋" w:cs="仿宋"/>
                <w:color w:val="auto"/>
                <w:kern w:val="0"/>
                <w:sz w:val="24"/>
                <w:szCs w:val="24"/>
                <w:highlight w:val="none"/>
                <w:lang w:bidi="ar"/>
              </w:rPr>
              <w:t>投标人建立运行服务保障应急预案，方案对系统实施可能遇到的问题及其应对措施的考虑情况，在维保服务期间巡检、故障处理的组织和联系机制的合理性、有效性</w:t>
            </w:r>
            <w:r>
              <w:rPr>
                <w:rFonts w:hint="eastAsia" w:ascii="仿宋" w:hAnsi="仿宋" w:eastAsia="仿宋" w:cs="仿宋"/>
                <w:color w:val="auto"/>
                <w:kern w:val="0"/>
                <w:sz w:val="24"/>
                <w:szCs w:val="24"/>
                <w:highlight w:val="none"/>
                <w:lang w:val="en-US" w:eastAsia="zh-CN" w:bidi="ar"/>
              </w:rPr>
              <w:t>等内容</w:t>
            </w:r>
            <w:r>
              <w:rPr>
                <w:rFonts w:hint="eastAsia" w:ascii="仿宋" w:hAnsi="仿宋" w:eastAsia="仿宋" w:cs="仿宋"/>
                <w:color w:val="auto"/>
                <w:kern w:val="0"/>
                <w:sz w:val="24"/>
                <w:szCs w:val="24"/>
                <w:highlight w:val="none"/>
                <w:lang w:eastAsia="zh-CN" w:bidi="ar"/>
              </w:rPr>
              <w:t>进行综合评分：</w:t>
            </w:r>
          </w:p>
          <w:p w14:paraId="6DAF6685">
            <w:pPr>
              <w:keepNext w:val="0"/>
              <w:keepLines w:val="0"/>
              <w:pageBreakBefore w:val="0"/>
              <w:widowControl/>
              <w:numPr>
                <w:ilvl w:val="0"/>
                <w:numId w:val="0"/>
              </w:numPr>
              <w:kinsoku/>
              <w:wordWrap/>
              <w:overflowPunct/>
              <w:topLinePunct w:val="0"/>
              <w:autoSpaceDE/>
              <w:autoSpaceDN/>
              <w:bidi w:val="0"/>
              <w:snapToGrid w:val="0"/>
              <w:spacing w:line="400" w:lineRule="atLeast"/>
              <w:ind w:leftChars="0"/>
              <w:jc w:val="left"/>
              <w:textAlignment w:val="auto"/>
              <w:rPr>
                <w:rFonts w:hint="eastAsia" w:ascii="仿宋" w:hAnsi="仿宋" w:eastAsia="仿宋" w:cs="仿宋"/>
                <w:b/>
                <w:bCs/>
                <w:color w:val="auto"/>
                <w:kern w:val="0"/>
                <w:sz w:val="24"/>
                <w:szCs w:val="24"/>
                <w:highlight w:val="none"/>
                <w:lang w:bidi="ar"/>
              </w:rPr>
            </w:pPr>
            <w:r>
              <w:rPr>
                <w:rFonts w:hint="eastAsia" w:ascii="仿宋" w:hAnsi="仿宋" w:eastAsia="仿宋" w:cs="仿宋"/>
                <w:b/>
                <w:bCs/>
                <w:color w:val="auto"/>
                <w:sz w:val="24"/>
                <w:szCs w:val="24"/>
                <w:highlight w:val="none"/>
                <w:lang w:val="en-US" w:eastAsia="zh-CN"/>
              </w:rPr>
              <w:t>（评分档次：0、1、2、3、3.5、4、4.5、5）</w:t>
            </w:r>
          </w:p>
          <w:p w14:paraId="186C63BA">
            <w:pPr>
              <w:keepNext w:val="0"/>
              <w:keepLines w:val="0"/>
              <w:pageBreakBefore w:val="0"/>
              <w:widowControl/>
              <w:kinsoku/>
              <w:wordWrap/>
              <w:overflowPunct/>
              <w:topLinePunct w:val="0"/>
              <w:autoSpaceDE/>
              <w:autoSpaceDN/>
              <w:bidi w:val="0"/>
              <w:snapToGrid w:val="0"/>
              <w:spacing w:line="400" w:lineRule="atLeast"/>
              <w:ind w:firstLine="241" w:firstLineChars="100"/>
              <w:jc w:val="left"/>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以上方案不提供不得分。</w:t>
            </w:r>
          </w:p>
        </w:tc>
        <w:tc>
          <w:tcPr>
            <w:tcW w:w="876" w:type="dxa"/>
            <w:vAlign w:val="center"/>
          </w:tcPr>
          <w:p w14:paraId="741DCAED">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Cs/>
                <w:color w:val="auto"/>
                <w:sz w:val="24"/>
                <w:szCs w:val="24"/>
                <w:highlight w:val="none"/>
              </w:rPr>
              <w:t>20分</w:t>
            </w:r>
          </w:p>
        </w:tc>
      </w:tr>
      <w:tr w14:paraId="1492D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0" w:hRule="atLeast"/>
        </w:trPr>
        <w:tc>
          <w:tcPr>
            <w:tcW w:w="756" w:type="dxa"/>
            <w:vAlign w:val="center"/>
          </w:tcPr>
          <w:p w14:paraId="7403F8B5">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rPr>
              <w:t>4</w:t>
            </w:r>
          </w:p>
        </w:tc>
        <w:tc>
          <w:tcPr>
            <w:tcW w:w="1059" w:type="dxa"/>
            <w:vAlign w:val="center"/>
          </w:tcPr>
          <w:p w14:paraId="2B38E01A">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人员</w:t>
            </w:r>
          </w:p>
          <w:p w14:paraId="59813F4A">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rPr>
              <w:t>配备</w:t>
            </w:r>
          </w:p>
        </w:tc>
        <w:tc>
          <w:tcPr>
            <w:tcW w:w="6364" w:type="dxa"/>
            <w:vAlign w:val="center"/>
          </w:tcPr>
          <w:p w14:paraId="39D0FDEB">
            <w:pPr>
              <w:keepNext w:val="0"/>
              <w:keepLines w:val="0"/>
              <w:pageBreakBefore w:val="0"/>
              <w:widowControl/>
              <w:kinsoku/>
              <w:wordWrap/>
              <w:overflowPunct/>
              <w:topLinePunct w:val="0"/>
              <w:autoSpaceDE/>
              <w:autoSpaceDN/>
              <w:bidi w:val="0"/>
              <w:snapToGrid w:val="0"/>
              <w:spacing w:line="400" w:lineRule="atLeast"/>
              <w:ind w:firstLine="240" w:firstLineChars="100"/>
              <w:jc w:val="left"/>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投标人为本项目配备的服务人员</w:t>
            </w:r>
            <w:r>
              <w:rPr>
                <w:rFonts w:hint="eastAsia" w:ascii="仿宋" w:hAnsi="仿宋" w:eastAsia="仿宋" w:cs="仿宋"/>
                <w:color w:val="auto"/>
                <w:sz w:val="24"/>
                <w:szCs w:val="24"/>
                <w:highlight w:val="none"/>
                <w:lang w:val="en-US" w:eastAsia="zh-CN"/>
              </w:rPr>
              <w:t>需</w:t>
            </w:r>
            <w:r>
              <w:rPr>
                <w:rFonts w:hint="eastAsia" w:ascii="仿宋" w:hAnsi="仿宋" w:eastAsia="仿宋" w:cs="仿宋"/>
                <w:color w:val="auto"/>
                <w:sz w:val="24"/>
                <w:szCs w:val="24"/>
                <w:highlight w:val="none"/>
              </w:rPr>
              <w:t>熟悉互联网信息服务相关工作，其中</w:t>
            </w:r>
            <w:r>
              <w:rPr>
                <w:rFonts w:hint="eastAsia" w:ascii="仿宋" w:hAnsi="仿宋" w:eastAsia="仿宋" w:cs="仿宋"/>
                <w:color w:val="auto"/>
                <w:sz w:val="24"/>
                <w:szCs w:val="24"/>
                <w:highlight w:val="none"/>
                <w:lang w:eastAsia="zh-CN"/>
              </w:rPr>
              <w:t>：</w:t>
            </w:r>
          </w:p>
          <w:p w14:paraId="1C2B6D14">
            <w:pPr>
              <w:keepNext w:val="0"/>
              <w:keepLines w:val="0"/>
              <w:pageBreakBefore w:val="0"/>
              <w:widowControl/>
              <w:kinsoku/>
              <w:wordWrap/>
              <w:overflowPunct/>
              <w:topLinePunct w:val="0"/>
              <w:autoSpaceDE/>
              <w:autoSpaceDN/>
              <w:bidi w:val="0"/>
              <w:snapToGrid w:val="0"/>
              <w:spacing w:line="400" w:lineRule="atLeast"/>
              <w:ind w:firstLine="241" w:firstLineChars="1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（1）</w:t>
            </w:r>
            <w:r>
              <w:rPr>
                <w:rFonts w:hint="eastAsia" w:ascii="仿宋" w:hAnsi="仿宋" w:eastAsia="仿宋" w:cs="仿宋"/>
                <w:color w:val="auto"/>
                <w:sz w:val="24"/>
                <w:szCs w:val="24"/>
                <w:highlight w:val="none"/>
                <w:lang w:val="en-US" w:eastAsia="zh-CN"/>
              </w:rPr>
              <w:t>项目团队成员具有信息技术中级职称得1分，具有信息技术高级职称得2分，本项最高得4分，成员为同一人的按最高职称计分；</w:t>
            </w:r>
          </w:p>
          <w:p w14:paraId="625560B5">
            <w:pPr>
              <w:keepNext w:val="0"/>
              <w:keepLines w:val="0"/>
              <w:pageBreakBefore w:val="0"/>
              <w:widowControl/>
              <w:kinsoku/>
              <w:wordWrap/>
              <w:overflowPunct/>
              <w:topLinePunct w:val="0"/>
              <w:autoSpaceDE/>
              <w:autoSpaceDN/>
              <w:bidi w:val="0"/>
              <w:snapToGrid w:val="0"/>
              <w:spacing w:line="400" w:lineRule="atLeast"/>
              <w:ind w:firstLine="241" w:firstLineChars="1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（2）</w:t>
            </w:r>
            <w:r>
              <w:rPr>
                <w:rFonts w:hint="eastAsia" w:ascii="仿宋" w:hAnsi="仿宋" w:eastAsia="仿宋" w:cs="仿宋"/>
                <w:color w:val="auto"/>
                <w:sz w:val="24"/>
                <w:szCs w:val="24"/>
                <w:highlight w:val="none"/>
                <w:lang w:val="en-US" w:eastAsia="zh-CN"/>
              </w:rPr>
              <w:t>项目团队成员具有注册信息安全工程师（CISP）证书、注册数据安全治理专业人员（CISP-DSG）证书、注册信息安全意识官证书（CSAO）、注册数据安全官证书（CDSO）、个人信息保护专业人员（CCRC）证书、注册数据隐私安全专家（CDPSE）证书的，每个得2分，本项最高得6分，同一成员有多个证书的按1个计算；</w:t>
            </w:r>
          </w:p>
          <w:p w14:paraId="36754C32">
            <w:pPr>
              <w:keepNext w:val="0"/>
              <w:keepLines w:val="0"/>
              <w:pageBreakBefore w:val="0"/>
              <w:widowControl/>
              <w:kinsoku/>
              <w:wordWrap/>
              <w:overflowPunct/>
              <w:topLinePunct w:val="0"/>
              <w:autoSpaceDE/>
              <w:autoSpaceDN/>
              <w:bidi w:val="0"/>
              <w:snapToGrid w:val="0"/>
              <w:spacing w:line="400" w:lineRule="atLeast"/>
              <w:ind w:firstLine="241" w:firstLineChars="100"/>
              <w:jc w:val="left"/>
              <w:textAlignment w:val="auto"/>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bCs/>
                <w:color w:val="auto"/>
                <w:kern w:val="0"/>
                <w:sz w:val="24"/>
                <w:szCs w:val="24"/>
                <w:highlight w:val="none"/>
                <w:u w:val="none"/>
                <w:lang w:val="zh-CN" w:bidi="ar"/>
              </w:rPr>
              <w:t>以上人员</w:t>
            </w:r>
            <w:r>
              <w:rPr>
                <w:rFonts w:hint="eastAsia" w:ascii="仿宋" w:hAnsi="仿宋" w:eastAsia="仿宋" w:cs="仿宋"/>
                <w:b/>
                <w:bCs/>
                <w:color w:val="auto"/>
                <w:kern w:val="0"/>
                <w:sz w:val="24"/>
                <w:szCs w:val="24"/>
                <w:highlight w:val="none"/>
                <w:u w:val="none"/>
                <w:lang w:val="en-US" w:eastAsia="zh-CN" w:bidi="ar"/>
              </w:rPr>
              <w:t>需提供本单位为其缴纳的</w:t>
            </w:r>
            <w:r>
              <w:rPr>
                <w:rFonts w:hint="eastAsia" w:ascii="仿宋" w:hAnsi="仿宋" w:eastAsia="仿宋" w:cs="仿宋"/>
                <w:b/>
                <w:bCs/>
                <w:color w:val="auto"/>
                <w:kern w:val="0"/>
                <w:sz w:val="24"/>
                <w:szCs w:val="24"/>
                <w:highlight w:val="none"/>
                <w:u w:val="none"/>
                <w:lang w:bidi="ar"/>
              </w:rPr>
              <w:t>近</w:t>
            </w:r>
            <w:r>
              <w:rPr>
                <w:rFonts w:hint="eastAsia" w:ascii="仿宋" w:hAnsi="仿宋" w:eastAsia="仿宋" w:cs="仿宋"/>
                <w:b/>
                <w:bCs/>
                <w:color w:val="auto"/>
                <w:kern w:val="0"/>
                <w:sz w:val="24"/>
                <w:szCs w:val="24"/>
                <w:highlight w:val="none"/>
                <w:u w:val="none"/>
                <w:lang w:val="en-US" w:eastAsia="zh-CN" w:bidi="ar"/>
              </w:rPr>
              <w:t>3</w:t>
            </w:r>
            <w:r>
              <w:rPr>
                <w:rFonts w:hint="eastAsia" w:ascii="仿宋" w:hAnsi="仿宋" w:eastAsia="仿宋" w:cs="仿宋"/>
                <w:b/>
                <w:bCs/>
                <w:color w:val="auto"/>
                <w:kern w:val="0"/>
                <w:sz w:val="24"/>
                <w:szCs w:val="24"/>
                <w:highlight w:val="none"/>
                <w:u w:val="none"/>
                <w:lang w:val="zh-CN" w:bidi="ar"/>
              </w:rPr>
              <w:t>个月</w:t>
            </w:r>
            <w:r>
              <w:rPr>
                <w:rFonts w:hint="eastAsia" w:ascii="仿宋" w:hAnsi="仿宋" w:eastAsia="仿宋" w:cs="仿宋"/>
                <w:b/>
                <w:bCs/>
                <w:color w:val="auto"/>
                <w:kern w:val="0"/>
                <w:sz w:val="24"/>
                <w:szCs w:val="24"/>
                <w:highlight w:val="none"/>
                <w:u w:val="none"/>
                <w:lang w:val="en-US" w:eastAsia="zh-CN" w:bidi="ar"/>
              </w:rPr>
              <w:t>中任意一个月</w:t>
            </w:r>
            <w:r>
              <w:rPr>
                <w:rFonts w:hint="eastAsia" w:ascii="仿宋" w:hAnsi="仿宋" w:eastAsia="仿宋" w:cs="仿宋"/>
                <w:b/>
                <w:bCs/>
                <w:color w:val="auto"/>
                <w:kern w:val="0"/>
                <w:sz w:val="24"/>
                <w:szCs w:val="24"/>
                <w:highlight w:val="none"/>
                <w:u w:val="none"/>
                <w:lang w:val="zh-CN" w:bidi="ar"/>
              </w:rPr>
              <w:t>社保缴纳证明及相关证书复印件</w:t>
            </w:r>
            <w:r>
              <w:rPr>
                <w:rFonts w:hint="eastAsia" w:ascii="仿宋" w:hAnsi="仿宋" w:eastAsia="仿宋" w:cs="仿宋"/>
                <w:b/>
                <w:bCs/>
                <w:color w:val="auto"/>
                <w:kern w:val="0"/>
                <w:sz w:val="24"/>
                <w:szCs w:val="24"/>
                <w:highlight w:val="none"/>
                <w:u w:val="none"/>
                <w:lang w:val="en-US" w:eastAsia="zh-CN" w:bidi="ar"/>
              </w:rPr>
              <w:t>并</w:t>
            </w:r>
            <w:r>
              <w:rPr>
                <w:rFonts w:hint="eastAsia" w:ascii="仿宋" w:hAnsi="仿宋" w:eastAsia="仿宋" w:cs="仿宋"/>
                <w:b/>
                <w:bCs/>
                <w:color w:val="auto"/>
                <w:kern w:val="0"/>
                <w:sz w:val="24"/>
                <w:szCs w:val="24"/>
                <w:highlight w:val="none"/>
                <w:u w:val="none"/>
                <w:lang w:val="zh-CN" w:bidi="ar"/>
              </w:rPr>
              <w:t>加盖公章。不提供社保证明</w:t>
            </w:r>
            <w:r>
              <w:rPr>
                <w:rFonts w:hint="eastAsia" w:ascii="仿宋" w:hAnsi="仿宋" w:eastAsia="仿宋" w:cs="仿宋"/>
                <w:b/>
                <w:bCs/>
                <w:color w:val="auto"/>
                <w:kern w:val="0"/>
                <w:sz w:val="24"/>
                <w:szCs w:val="24"/>
                <w:highlight w:val="none"/>
                <w:u w:val="none"/>
                <w:lang w:val="en-US" w:eastAsia="zh-CN" w:bidi="ar"/>
              </w:rPr>
              <w:t>及证书</w:t>
            </w:r>
            <w:r>
              <w:rPr>
                <w:rFonts w:hint="eastAsia" w:ascii="仿宋" w:hAnsi="仿宋" w:eastAsia="仿宋" w:cs="仿宋"/>
                <w:b/>
                <w:bCs/>
                <w:color w:val="auto"/>
                <w:kern w:val="0"/>
                <w:sz w:val="24"/>
                <w:szCs w:val="24"/>
                <w:highlight w:val="none"/>
                <w:u w:val="none"/>
                <w:lang w:val="zh-CN" w:bidi="ar"/>
              </w:rPr>
              <w:t>材料不得分。</w:t>
            </w:r>
          </w:p>
        </w:tc>
        <w:tc>
          <w:tcPr>
            <w:tcW w:w="876" w:type="dxa"/>
            <w:vAlign w:val="center"/>
          </w:tcPr>
          <w:p w14:paraId="068B48A3">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lang w:val="en-US" w:eastAsia="zh-CN"/>
              </w:rPr>
              <w:t>10</w:t>
            </w:r>
            <w:r>
              <w:rPr>
                <w:rFonts w:hint="eastAsia" w:ascii="仿宋" w:hAnsi="仿宋" w:eastAsia="仿宋" w:cs="仿宋"/>
                <w:color w:val="auto"/>
                <w:sz w:val="24"/>
                <w:szCs w:val="24"/>
                <w:highlight w:val="none"/>
              </w:rPr>
              <w:t>分</w:t>
            </w:r>
          </w:p>
        </w:tc>
      </w:tr>
      <w:tr w14:paraId="211DF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6" w:type="dxa"/>
            <w:vAlign w:val="center"/>
          </w:tcPr>
          <w:p w14:paraId="1D0D4F61">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rPr>
              <w:t>5</w:t>
            </w:r>
          </w:p>
        </w:tc>
        <w:tc>
          <w:tcPr>
            <w:tcW w:w="1059" w:type="dxa"/>
            <w:vAlign w:val="center"/>
          </w:tcPr>
          <w:p w14:paraId="4ACC023B">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rPr>
              <w:t>培训实施计划</w:t>
            </w:r>
          </w:p>
        </w:tc>
        <w:tc>
          <w:tcPr>
            <w:tcW w:w="6364" w:type="dxa"/>
            <w:vAlign w:val="center"/>
          </w:tcPr>
          <w:p w14:paraId="675ACB52">
            <w:pPr>
              <w:keepNext w:val="0"/>
              <w:keepLines w:val="0"/>
              <w:pageBreakBefore w:val="0"/>
              <w:widowControl/>
              <w:numPr>
                <w:ilvl w:val="0"/>
                <w:numId w:val="0"/>
              </w:numPr>
              <w:kinsoku/>
              <w:wordWrap/>
              <w:overflowPunct/>
              <w:topLinePunct w:val="0"/>
              <w:autoSpaceDE/>
              <w:autoSpaceDN/>
              <w:bidi w:val="0"/>
              <w:snapToGrid w:val="0"/>
              <w:spacing w:line="400" w:lineRule="atLeast"/>
              <w:ind w:firstLine="241" w:firstLineChars="1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（1）</w:t>
            </w:r>
            <w:r>
              <w:rPr>
                <w:rFonts w:hint="eastAsia" w:ascii="仿宋" w:hAnsi="仿宋" w:eastAsia="仿宋" w:cs="仿宋"/>
                <w:color w:val="auto"/>
                <w:sz w:val="24"/>
                <w:szCs w:val="24"/>
                <w:highlight w:val="none"/>
                <w:lang w:val="en-US" w:eastAsia="zh-CN"/>
              </w:rPr>
              <w:t>根据投标人提供的培训方案，包括岗前培训和在岗培训，培训方案完善且有针对性，培训内容包含（使用、日常维护、管理）等培训，是否有详细的年度培训计划和方案</w:t>
            </w:r>
            <w:r>
              <w:rPr>
                <w:rFonts w:hint="eastAsia" w:ascii="仿宋" w:hAnsi="仿宋" w:eastAsia="仿宋" w:cs="仿宋"/>
                <w:color w:val="auto"/>
                <w:kern w:val="0"/>
                <w:sz w:val="24"/>
                <w:szCs w:val="24"/>
                <w:highlight w:val="none"/>
                <w:lang w:val="en-US" w:eastAsia="zh-CN" w:bidi="ar"/>
              </w:rPr>
              <w:t>等内容</w:t>
            </w:r>
            <w:r>
              <w:rPr>
                <w:rFonts w:hint="eastAsia" w:ascii="仿宋" w:hAnsi="仿宋" w:eastAsia="仿宋" w:cs="仿宋"/>
                <w:color w:val="auto"/>
                <w:kern w:val="0"/>
                <w:sz w:val="24"/>
                <w:szCs w:val="24"/>
                <w:highlight w:val="none"/>
                <w:lang w:eastAsia="zh-CN" w:bidi="ar"/>
              </w:rPr>
              <w:t>进行综合评分：</w:t>
            </w:r>
          </w:p>
          <w:p w14:paraId="4056625F">
            <w:pPr>
              <w:keepNext w:val="0"/>
              <w:keepLines w:val="0"/>
              <w:pageBreakBefore w:val="0"/>
              <w:widowControl/>
              <w:numPr>
                <w:ilvl w:val="0"/>
                <w:numId w:val="0"/>
              </w:numPr>
              <w:kinsoku/>
              <w:wordWrap/>
              <w:overflowPunct/>
              <w:topLinePunct w:val="0"/>
              <w:autoSpaceDE/>
              <w:autoSpaceDN/>
              <w:bidi w:val="0"/>
              <w:snapToGrid w:val="0"/>
              <w:spacing w:line="400" w:lineRule="atLeast"/>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（评分档次：0、1、2、3、4、5、6）</w:t>
            </w:r>
          </w:p>
          <w:p w14:paraId="670B06EB">
            <w:pPr>
              <w:keepNext w:val="0"/>
              <w:keepLines w:val="0"/>
              <w:pageBreakBefore w:val="0"/>
              <w:widowControl/>
              <w:kinsoku/>
              <w:wordWrap/>
              <w:overflowPunct/>
              <w:topLinePunct w:val="0"/>
              <w:autoSpaceDE/>
              <w:autoSpaceDN/>
              <w:bidi w:val="0"/>
              <w:snapToGrid w:val="0"/>
              <w:spacing w:line="400" w:lineRule="atLeast"/>
              <w:ind w:firstLine="241" w:firstLineChars="1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（2）</w:t>
            </w:r>
            <w:r>
              <w:rPr>
                <w:rFonts w:hint="eastAsia" w:ascii="仿宋" w:hAnsi="仿宋" w:eastAsia="仿宋" w:cs="仿宋"/>
                <w:color w:val="auto"/>
                <w:sz w:val="24"/>
                <w:szCs w:val="24"/>
                <w:highlight w:val="none"/>
                <w:lang w:val="en-US" w:eastAsia="zh-CN"/>
              </w:rPr>
              <w:t>培训讲师具有中国信息安全测评中心颁发的国家信息安全水平考试培训讲师的得2分，本项最高得2分，不提供不得分。</w:t>
            </w:r>
          </w:p>
          <w:p w14:paraId="6F24E220">
            <w:pPr>
              <w:pStyle w:val="7"/>
              <w:keepNext w:val="0"/>
              <w:keepLines w:val="0"/>
              <w:pageBreakBefore w:val="0"/>
              <w:widowControl w:val="0"/>
              <w:kinsoku/>
              <w:wordWrap/>
              <w:overflowPunct/>
              <w:topLinePunct w:val="0"/>
              <w:autoSpaceDE/>
              <w:autoSpaceDN/>
              <w:bidi w:val="0"/>
              <w:adjustRightInd/>
              <w:snapToGrid/>
              <w:spacing w:line="400" w:lineRule="atLeast"/>
              <w:ind w:firstLine="241" w:firstLineChars="100"/>
              <w:textAlignment w:val="auto"/>
              <w:rPr>
                <w:rFonts w:hint="eastAsia" w:ascii="仿宋" w:hAnsi="仿宋" w:eastAsia="仿宋" w:cs="仿宋"/>
                <w:b/>
                <w:bCs/>
                <w:color w:val="auto"/>
                <w:kern w:val="0"/>
                <w:sz w:val="24"/>
                <w:szCs w:val="24"/>
                <w:highlight w:val="none"/>
                <w:u w:val="none"/>
                <w:lang w:val="en-US" w:eastAsia="zh-CN" w:bidi="ar"/>
              </w:rPr>
            </w:pPr>
            <w:r>
              <w:rPr>
                <w:rFonts w:hint="eastAsia" w:ascii="仿宋" w:hAnsi="仿宋" w:eastAsia="仿宋" w:cs="仿宋"/>
                <w:b/>
                <w:bCs/>
                <w:color w:val="auto"/>
                <w:kern w:val="0"/>
                <w:sz w:val="24"/>
                <w:szCs w:val="24"/>
                <w:highlight w:val="none"/>
                <w:u w:val="none"/>
                <w:lang w:val="zh-CN" w:bidi="ar"/>
              </w:rPr>
              <w:t>以上人员</w:t>
            </w:r>
            <w:r>
              <w:rPr>
                <w:rFonts w:hint="eastAsia" w:ascii="仿宋" w:hAnsi="仿宋" w:eastAsia="仿宋" w:cs="仿宋"/>
                <w:b/>
                <w:bCs/>
                <w:color w:val="auto"/>
                <w:kern w:val="0"/>
                <w:sz w:val="24"/>
                <w:szCs w:val="24"/>
                <w:highlight w:val="none"/>
                <w:u w:val="none"/>
                <w:lang w:val="en-US" w:eastAsia="zh-CN" w:bidi="ar"/>
              </w:rPr>
              <w:t>需提供本单位为其缴纳的近3个月中任意一个月</w:t>
            </w:r>
            <w:r>
              <w:rPr>
                <w:rFonts w:hint="eastAsia" w:ascii="仿宋" w:hAnsi="仿宋" w:eastAsia="仿宋" w:cs="仿宋"/>
                <w:b/>
                <w:bCs/>
                <w:color w:val="auto"/>
                <w:kern w:val="0"/>
                <w:sz w:val="24"/>
                <w:szCs w:val="24"/>
                <w:highlight w:val="none"/>
                <w:u w:val="none"/>
                <w:lang w:val="zh-CN" w:eastAsia="zh-CN" w:bidi="ar"/>
              </w:rPr>
              <w:t>社保缴纳证明及相关证书</w:t>
            </w:r>
            <w:r>
              <w:rPr>
                <w:rFonts w:hint="eastAsia" w:ascii="仿宋" w:hAnsi="仿宋" w:eastAsia="仿宋" w:cs="仿宋"/>
                <w:b/>
                <w:bCs/>
                <w:color w:val="auto"/>
                <w:kern w:val="0"/>
                <w:sz w:val="24"/>
                <w:szCs w:val="24"/>
                <w:highlight w:val="none"/>
                <w:u w:val="none"/>
                <w:lang w:val="en-US" w:eastAsia="zh-CN" w:bidi="ar"/>
              </w:rPr>
              <w:t>复印件并加盖投标人单位公章，未提供不得分。</w:t>
            </w:r>
          </w:p>
          <w:p w14:paraId="49065052">
            <w:pPr>
              <w:pStyle w:val="7"/>
              <w:keepNext w:val="0"/>
              <w:keepLines w:val="0"/>
              <w:pageBreakBefore w:val="0"/>
              <w:widowControl w:val="0"/>
              <w:kinsoku/>
              <w:wordWrap/>
              <w:overflowPunct/>
              <w:topLinePunct w:val="0"/>
              <w:autoSpaceDE/>
              <w:autoSpaceDN/>
              <w:bidi w:val="0"/>
              <w:adjustRightInd/>
              <w:snapToGrid/>
              <w:spacing w:line="400" w:lineRule="atLeast"/>
              <w:ind w:firstLine="241" w:firstLineChars="100"/>
              <w:textAlignment w:val="auto"/>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bCs/>
                <w:color w:val="auto"/>
                <w:kern w:val="0"/>
                <w:sz w:val="24"/>
                <w:szCs w:val="24"/>
                <w:highlight w:val="none"/>
                <w:u w:val="none"/>
                <w:lang w:val="zh-CN" w:eastAsia="zh-CN" w:bidi="ar"/>
              </w:rPr>
              <w:t>以上方案不提供不得分。</w:t>
            </w:r>
          </w:p>
        </w:tc>
        <w:tc>
          <w:tcPr>
            <w:tcW w:w="876" w:type="dxa"/>
            <w:vAlign w:val="center"/>
          </w:tcPr>
          <w:p w14:paraId="55D31D70">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lang w:val="en-US" w:eastAsia="zh-CN"/>
              </w:rPr>
              <w:t>8</w:t>
            </w:r>
            <w:r>
              <w:rPr>
                <w:rFonts w:hint="eastAsia" w:ascii="仿宋" w:hAnsi="仿宋" w:eastAsia="仿宋" w:cs="仿宋"/>
                <w:color w:val="auto"/>
                <w:sz w:val="24"/>
                <w:szCs w:val="24"/>
                <w:highlight w:val="none"/>
              </w:rPr>
              <w:t>分</w:t>
            </w:r>
          </w:p>
        </w:tc>
      </w:tr>
      <w:tr w14:paraId="2266F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trPr>
        <w:tc>
          <w:tcPr>
            <w:tcW w:w="756" w:type="dxa"/>
            <w:vAlign w:val="center"/>
          </w:tcPr>
          <w:p w14:paraId="15FDE4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left="0" w:right="0" w:firstLine="0" w:firstLineChars="0"/>
              <w:jc w:val="center"/>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6</w:t>
            </w:r>
          </w:p>
        </w:tc>
        <w:tc>
          <w:tcPr>
            <w:tcW w:w="1059" w:type="dxa"/>
            <w:vAlign w:val="center"/>
          </w:tcPr>
          <w:p w14:paraId="2669BFBB">
            <w:pPr>
              <w:keepNext w:val="0"/>
              <w:keepLines w:val="0"/>
              <w:pageBreakBefore w:val="0"/>
              <w:kinsoku/>
              <w:wordWrap/>
              <w:overflowPunct/>
              <w:topLinePunct w:val="0"/>
              <w:autoSpaceDE/>
              <w:autoSpaceDN/>
              <w:bidi w:val="0"/>
              <w:adjustRightInd w:val="0"/>
              <w:snapToGrid w:val="0"/>
              <w:spacing w:line="400" w:lineRule="atLeast"/>
              <w:jc w:val="center"/>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资源</w:t>
            </w:r>
          </w:p>
          <w:p w14:paraId="574CECC2">
            <w:pPr>
              <w:keepNext w:val="0"/>
              <w:keepLines w:val="0"/>
              <w:pageBreakBefore w:val="0"/>
              <w:kinsoku/>
              <w:wordWrap/>
              <w:overflowPunct/>
              <w:topLinePunct w:val="0"/>
              <w:autoSpaceDE/>
              <w:autoSpaceDN/>
              <w:bidi w:val="0"/>
              <w:adjustRightInd w:val="0"/>
              <w:snapToGrid w:val="0"/>
              <w:spacing w:line="400" w:lineRule="atLeast"/>
              <w:jc w:val="center"/>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rPr>
              <w:t>利用</w:t>
            </w:r>
          </w:p>
        </w:tc>
        <w:tc>
          <w:tcPr>
            <w:tcW w:w="6364" w:type="dxa"/>
            <w:vAlign w:val="center"/>
          </w:tcPr>
          <w:p w14:paraId="16ECAA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right="0" w:firstLine="240" w:firstLineChars="100"/>
              <w:jc w:val="left"/>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根据投标人利用现有系统资源，能为采购人提供的其他服务方案进行评分</w:t>
            </w:r>
            <w:r>
              <w:rPr>
                <w:rFonts w:hint="eastAsia" w:ascii="仿宋" w:hAnsi="仿宋" w:eastAsia="仿宋" w:cs="仿宋"/>
                <w:color w:val="auto"/>
                <w:sz w:val="24"/>
                <w:szCs w:val="24"/>
                <w:highlight w:val="none"/>
                <w:lang w:val="en-US" w:eastAsia="zh-CN"/>
              </w:rPr>
              <w:t>，</w:t>
            </w:r>
            <w:r>
              <w:rPr>
                <w:rFonts w:hint="eastAsia" w:ascii="仿宋" w:hAnsi="仿宋" w:eastAsia="仿宋" w:cs="仿宋"/>
                <w:b w:val="0"/>
                <w:bCs w:val="0"/>
                <w:color w:val="auto"/>
                <w:sz w:val="24"/>
                <w:szCs w:val="24"/>
                <w:highlight w:val="none"/>
                <w:lang w:val="en-US" w:eastAsia="zh-CN"/>
              </w:rPr>
              <w:t>未提供不得分：</w:t>
            </w:r>
          </w:p>
          <w:p w14:paraId="0C3C1C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right="0"/>
              <w:jc w:val="left"/>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（评分档次：0、1、1.5、2、2.5、3）</w:t>
            </w:r>
          </w:p>
        </w:tc>
        <w:tc>
          <w:tcPr>
            <w:tcW w:w="876" w:type="dxa"/>
            <w:vAlign w:val="center"/>
          </w:tcPr>
          <w:p w14:paraId="55E01A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left="0" w:right="0" w:firstLine="0" w:firstLineChars="0"/>
              <w:jc w:val="center"/>
              <w:textAlignment w:val="auto"/>
              <w:rPr>
                <w:rFonts w:hint="default" w:ascii="仿宋" w:hAnsi="仿宋" w:eastAsia="仿宋" w:cs="仿宋"/>
                <w:b/>
                <w:bCs/>
                <w:color w:val="auto"/>
                <w:sz w:val="24"/>
                <w:szCs w:val="24"/>
                <w:highlight w:val="none"/>
                <w:lang w:val="en-US" w:eastAsia="zh-CN"/>
              </w:rPr>
            </w:pPr>
            <w:r>
              <w:rPr>
                <w:rFonts w:hint="eastAsia" w:ascii="仿宋" w:hAnsi="仿宋" w:eastAsia="仿宋" w:cs="仿宋"/>
                <w:b w:val="0"/>
                <w:bCs w:val="0"/>
                <w:color w:val="auto"/>
                <w:sz w:val="24"/>
                <w:szCs w:val="24"/>
                <w:highlight w:val="none"/>
                <w:lang w:val="en-US" w:eastAsia="zh-CN"/>
              </w:rPr>
              <w:t>3分</w:t>
            </w:r>
          </w:p>
        </w:tc>
      </w:tr>
      <w:tr w14:paraId="340E0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9055" w:type="dxa"/>
            <w:gridSpan w:val="4"/>
            <w:vAlign w:val="center"/>
          </w:tcPr>
          <w:p w14:paraId="7A409C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atLeast"/>
              <w:ind w:left="0" w:leftChars="0" w:right="0" w:rightChars="0" w:firstLine="0" w:firstLineChars="0"/>
              <w:jc w:val="center"/>
              <w:textAlignment w:val="auto"/>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sz w:val="24"/>
                <w:szCs w:val="24"/>
                <w:highlight w:val="none"/>
                <w:lang w:val="en-US" w:eastAsia="zh-CN"/>
              </w:rPr>
              <w:t>商务分（22分）</w:t>
            </w:r>
          </w:p>
        </w:tc>
      </w:tr>
      <w:tr w14:paraId="500CE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56" w:type="dxa"/>
            <w:vAlign w:val="center"/>
          </w:tcPr>
          <w:p w14:paraId="225671EF">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lang w:val="en-US" w:eastAsia="zh-CN"/>
              </w:rPr>
              <w:t>7</w:t>
            </w:r>
          </w:p>
        </w:tc>
        <w:tc>
          <w:tcPr>
            <w:tcW w:w="1059" w:type="dxa"/>
            <w:vAlign w:val="center"/>
          </w:tcPr>
          <w:p w14:paraId="5EF24719">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rPr>
              <w:t>售后服务方案</w:t>
            </w:r>
          </w:p>
        </w:tc>
        <w:tc>
          <w:tcPr>
            <w:tcW w:w="6364" w:type="dxa"/>
            <w:vAlign w:val="center"/>
          </w:tcPr>
          <w:p w14:paraId="1146907E">
            <w:pPr>
              <w:keepNext w:val="0"/>
              <w:keepLines w:val="0"/>
              <w:pageBreakBefore w:val="0"/>
              <w:kinsoku/>
              <w:wordWrap/>
              <w:overflowPunct/>
              <w:topLinePunct w:val="0"/>
              <w:autoSpaceDE/>
              <w:autoSpaceDN/>
              <w:bidi w:val="0"/>
              <w:spacing w:line="400" w:lineRule="atLeast"/>
              <w:ind w:firstLine="241" w:firstLineChars="100"/>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lang w:val="en-US" w:eastAsia="zh-CN"/>
              </w:rPr>
              <w:t>（1）</w:t>
            </w:r>
            <w:r>
              <w:rPr>
                <w:rFonts w:hint="eastAsia" w:ascii="仿宋" w:hAnsi="仿宋" w:eastAsia="仿宋" w:cs="仿宋"/>
                <w:color w:val="auto"/>
                <w:sz w:val="24"/>
                <w:szCs w:val="24"/>
                <w:highlight w:val="none"/>
              </w:rPr>
              <w:t>售后服务方案科学、合理，服务承诺、服务体系健全、在本地具有服务机构</w:t>
            </w:r>
            <w:r>
              <w:rPr>
                <w:rFonts w:hint="eastAsia" w:ascii="仿宋" w:hAnsi="仿宋" w:eastAsia="仿宋" w:cs="仿宋"/>
                <w:color w:val="auto"/>
                <w:sz w:val="24"/>
                <w:szCs w:val="24"/>
                <w:highlight w:val="none"/>
                <w:lang w:val="en-US" w:eastAsia="zh-Hans"/>
              </w:rPr>
              <w:t>或承诺中标后</w:t>
            </w:r>
            <w:r>
              <w:rPr>
                <w:rFonts w:hint="eastAsia" w:ascii="仿宋" w:hAnsi="仿宋" w:eastAsia="仿宋" w:cs="仿宋"/>
                <w:color w:val="auto"/>
                <w:sz w:val="24"/>
                <w:szCs w:val="24"/>
                <w:highlight w:val="none"/>
                <w:lang w:val="en-US" w:eastAsia="zh-CN"/>
              </w:rPr>
              <w:t>在本地提供售后服务单位</w:t>
            </w:r>
            <w:r>
              <w:rPr>
                <w:rFonts w:hint="eastAsia" w:ascii="仿宋" w:hAnsi="仿宋" w:eastAsia="仿宋" w:cs="仿宋"/>
                <w:color w:val="auto"/>
                <w:sz w:val="24"/>
                <w:szCs w:val="24"/>
                <w:highlight w:val="none"/>
              </w:rPr>
              <w:t>，得</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分。</w:t>
            </w:r>
          </w:p>
          <w:p w14:paraId="0FF0F828">
            <w:pPr>
              <w:pStyle w:val="7"/>
              <w:keepNext w:val="0"/>
              <w:keepLines w:val="0"/>
              <w:pageBreakBefore w:val="0"/>
              <w:numPr>
                <w:ilvl w:val="0"/>
                <w:numId w:val="0"/>
              </w:numPr>
              <w:kinsoku/>
              <w:wordWrap/>
              <w:overflowPunct/>
              <w:topLinePunct w:val="0"/>
              <w:autoSpaceDE/>
              <w:autoSpaceDN/>
              <w:bidi w:val="0"/>
              <w:spacing w:line="400" w:lineRule="atLeast"/>
              <w:ind w:firstLine="241" w:firstLineChars="100"/>
              <w:textAlignment w:val="auto"/>
              <w:rPr>
                <w:rFonts w:hint="eastAsia" w:ascii="仿宋" w:hAnsi="仿宋" w:eastAsia="仿宋" w:cs="仿宋"/>
                <w:b w:val="0"/>
                <w:i w:val="0"/>
                <w:iCs w:val="0"/>
                <w:color w:val="auto"/>
                <w:kern w:val="2"/>
                <w:sz w:val="24"/>
                <w:szCs w:val="24"/>
                <w:highlight w:val="none"/>
                <w:u w:val="none"/>
                <w:lang w:val="en-US" w:eastAsia="zh-CN" w:bidi="ar-SA"/>
              </w:rPr>
            </w:pPr>
            <w:r>
              <w:rPr>
                <w:rFonts w:hint="eastAsia" w:ascii="仿宋" w:hAnsi="仿宋" w:eastAsia="仿宋" w:cs="仿宋"/>
                <w:b/>
                <w:bCs/>
                <w:color w:val="auto"/>
                <w:kern w:val="2"/>
                <w:sz w:val="24"/>
                <w:szCs w:val="24"/>
                <w:highlight w:val="none"/>
                <w:lang w:val="en-US" w:eastAsia="zh-CN" w:bidi="ar-SA"/>
              </w:rPr>
              <w:t>（2）</w:t>
            </w:r>
            <w:r>
              <w:rPr>
                <w:rFonts w:hint="eastAsia" w:ascii="仿宋" w:hAnsi="仿宋" w:eastAsia="仿宋" w:cs="仿宋"/>
                <w:b w:val="0"/>
                <w:color w:val="auto"/>
                <w:kern w:val="2"/>
                <w:sz w:val="24"/>
                <w:szCs w:val="24"/>
                <w:highlight w:val="none"/>
                <w:lang w:val="en-US" w:eastAsia="zh-CN" w:bidi="ar-SA"/>
              </w:rPr>
              <w:t>根据售后服务方案是否全面周到,方案详细进行综合评分</w:t>
            </w:r>
            <w:r>
              <w:rPr>
                <w:rFonts w:hint="eastAsia" w:ascii="仿宋" w:hAnsi="仿宋" w:eastAsia="仿宋" w:cs="仿宋"/>
                <w:b w:val="0"/>
                <w:i w:val="0"/>
                <w:iCs w:val="0"/>
                <w:color w:val="auto"/>
                <w:kern w:val="2"/>
                <w:sz w:val="24"/>
                <w:szCs w:val="24"/>
                <w:highlight w:val="none"/>
                <w:u w:val="none"/>
                <w:lang w:val="en-US" w:eastAsia="zh-CN" w:bidi="ar-SA"/>
              </w:rPr>
              <w:t>：</w:t>
            </w:r>
          </w:p>
          <w:p w14:paraId="3576903C">
            <w:pPr>
              <w:keepNext w:val="0"/>
              <w:keepLines w:val="0"/>
              <w:pageBreakBefore w:val="0"/>
              <w:kinsoku/>
              <w:wordWrap/>
              <w:overflowPunct/>
              <w:topLinePunct w:val="0"/>
              <w:autoSpaceDE/>
              <w:autoSpaceDN/>
              <w:bidi w:val="0"/>
              <w:spacing w:line="400" w:lineRule="atLeast"/>
              <w:textAlignment w:val="auto"/>
              <w:rPr>
                <w:rFonts w:hint="eastAsia" w:ascii="仿宋" w:hAnsi="仿宋" w:eastAsia="仿宋" w:cs="仿宋"/>
                <w:b/>
                <w:bCs/>
                <w:i w:val="0"/>
                <w:iCs w:val="0"/>
                <w:sz w:val="24"/>
                <w:szCs w:val="24"/>
                <w:u w:val="none"/>
                <w:lang w:val="en-US" w:eastAsia="zh-CN"/>
              </w:rPr>
            </w:pPr>
            <w:r>
              <w:rPr>
                <w:rFonts w:hint="eastAsia" w:ascii="仿宋" w:hAnsi="仿宋" w:eastAsia="仿宋" w:cs="仿宋"/>
                <w:b/>
                <w:bCs/>
                <w:i w:val="0"/>
                <w:iCs w:val="0"/>
                <w:color w:val="auto"/>
                <w:sz w:val="24"/>
                <w:szCs w:val="24"/>
                <w:highlight w:val="none"/>
                <w:u w:val="none"/>
                <w:lang w:val="en-US" w:eastAsia="zh-CN"/>
              </w:rPr>
              <w:t>（评分档次：0、1、2、3、4、5、6）</w:t>
            </w:r>
          </w:p>
          <w:p w14:paraId="5B922FF1">
            <w:pPr>
              <w:pStyle w:val="7"/>
              <w:keepNext w:val="0"/>
              <w:keepLines w:val="0"/>
              <w:pageBreakBefore w:val="0"/>
              <w:kinsoku/>
              <w:wordWrap/>
              <w:overflowPunct/>
              <w:topLinePunct w:val="0"/>
              <w:autoSpaceDE/>
              <w:autoSpaceDN/>
              <w:bidi w:val="0"/>
              <w:spacing w:line="400" w:lineRule="atLeast"/>
              <w:ind w:firstLine="241" w:firstLineChars="100"/>
              <w:textAlignment w:val="auto"/>
              <w:rPr>
                <w:rFonts w:hint="eastAsia" w:ascii="仿宋" w:hAnsi="仿宋" w:eastAsia="仿宋" w:cs="仿宋"/>
                <w:b/>
                <w:bCs w:val="0"/>
                <w:i w:val="0"/>
                <w:iCs w:val="0"/>
                <w:color w:val="auto"/>
                <w:sz w:val="24"/>
                <w:szCs w:val="24"/>
                <w:highlight w:val="none"/>
                <w:u w:val="none"/>
                <w:lang w:bidi="ar"/>
              </w:rPr>
            </w:pPr>
            <w:r>
              <w:rPr>
                <w:rFonts w:hint="eastAsia" w:ascii="仿宋" w:hAnsi="仿宋" w:eastAsia="仿宋" w:cs="仿宋"/>
                <w:b/>
                <w:bCs w:val="0"/>
                <w:i w:val="0"/>
                <w:iCs w:val="0"/>
                <w:color w:val="auto"/>
                <w:sz w:val="24"/>
                <w:szCs w:val="24"/>
                <w:highlight w:val="none"/>
                <w:u w:val="none"/>
                <w:lang w:bidi="ar"/>
              </w:rPr>
              <w:t>以上需提供相关证明材料及承诺函</w:t>
            </w:r>
            <w:r>
              <w:rPr>
                <w:rFonts w:hint="eastAsia" w:ascii="仿宋" w:hAnsi="仿宋" w:eastAsia="仿宋" w:cs="仿宋"/>
                <w:b/>
                <w:bCs w:val="0"/>
                <w:i w:val="0"/>
                <w:iCs w:val="0"/>
                <w:color w:val="auto"/>
                <w:sz w:val="24"/>
                <w:szCs w:val="24"/>
                <w:highlight w:val="none"/>
                <w:u w:val="none"/>
                <w:lang w:val="en-US" w:eastAsia="zh-CN" w:bidi="ar"/>
              </w:rPr>
              <w:t>并加盖公章</w:t>
            </w:r>
            <w:r>
              <w:rPr>
                <w:rFonts w:hint="eastAsia" w:ascii="仿宋" w:hAnsi="仿宋" w:eastAsia="仿宋" w:cs="仿宋"/>
                <w:b/>
                <w:bCs w:val="0"/>
                <w:i w:val="0"/>
                <w:iCs w:val="0"/>
                <w:color w:val="auto"/>
                <w:sz w:val="24"/>
                <w:szCs w:val="24"/>
                <w:highlight w:val="none"/>
                <w:u w:val="none"/>
                <w:lang w:bidi="ar"/>
              </w:rPr>
              <w:t>，不提供不得分。</w:t>
            </w:r>
          </w:p>
          <w:p w14:paraId="019310FB">
            <w:pPr>
              <w:keepNext w:val="0"/>
              <w:keepLines w:val="0"/>
              <w:pageBreakBefore w:val="0"/>
              <w:widowControl/>
              <w:kinsoku/>
              <w:wordWrap/>
              <w:overflowPunct/>
              <w:topLinePunct w:val="0"/>
              <w:autoSpaceDE/>
              <w:autoSpaceDN/>
              <w:bidi w:val="0"/>
              <w:snapToGrid w:val="0"/>
              <w:spacing w:line="400" w:lineRule="atLeast"/>
              <w:ind w:firstLine="241" w:firstLineChars="100"/>
              <w:jc w:val="left"/>
              <w:textAlignment w:val="auto"/>
              <w:rPr>
                <w:rFonts w:hint="eastAsia" w:ascii="仿宋" w:hAnsi="仿宋" w:eastAsia="仿宋" w:cs="仿宋"/>
                <w:i w:val="0"/>
                <w:iCs w:val="0"/>
                <w:color w:val="auto"/>
                <w:kern w:val="0"/>
                <w:sz w:val="24"/>
                <w:szCs w:val="24"/>
                <w:highlight w:val="none"/>
                <w:u w:val="none"/>
                <w:lang w:bidi="ar"/>
              </w:rPr>
            </w:pPr>
            <w:r>
              <w:rPr>
                <w:rFonts w:hint="eastAsia" w:ascii="仿宋" w:hAnsi="仿宋" w:eastAsia="仿宋" w:cs="仿宋"/>
                <w:b/>
                <w:bCs w:val="0"/>
                <w:i w:val="0"/>
                <w:iCs w:val="0"/>
                <w:color w:val="auto"/>
                <w:sz w:val="24"/>
                <w:szCs w:val="24"/>
                <w:highlight w:val="none"/>
                <w:u w:val="none"/>
                <w:lang w:val="en-US" w:eastAsia="zh-CN" w:bidi="ar"/>
              </w:rPr>
              <w:t>（3）</w:t>
            </w:r>
            <w:r>
              <w:rPr>
                <w:rFonts w:hint="eastAsia" w:ascii="仿宋" w:hAnsi="仿宋" w:eastAsia="仿宋" w:cs="仿宋"/>
                <w:i w:val="0"/>
                <w:iCs w:val="0"/>
                <w:color w:val="auto"/>
                <w:kern w:val="0"/>
                <w:sz w:val="24"/>
                <w:szCs w:val="24"/>
                <w:highlight w:val="none"/>
                <w:u w:val="none"/>
                <w:lang w:bidi="ar"/>
              </w:rPr>
              <w:t>接到采购人通知后</w:t>
            </w:r>
            <w:r>
              <w:rPr>
                <w:rFonts w:hint="eastAsia" w:ascii="仿宋" w:hAnsi="仿宋" w:eastAsia="仿宋" w:cs="仿宋"/>
                <w:i w:val="0"/>
                <w:iCs w:val="0"/>
                <w:color w:val="auto"/>
                <w:kern w:val="0"/>
                <w:sz w:val="24"/>
                <w:szCs w:val="24"/>
                <w:highlight w:val="none"/>
                <w:u w:val="none"/>
                <w:lang w:val="en-US" w:eastAsia="zh-CN" w:bidi="ar"/>
              </w:rPr>
              <w:t>3</w:t>
            </w:r>
            <w:r>
              <w:rPr>
                <w:rFonts w:hint="eastAsia" w:ascii="仿宋" w:hAnsi="仿宋" w:eastAsia="仿宋" w:cs="仿宋"/>
                <w:b w:val="0"/>
                <w:i w:val="0"/>
                <w:iCs w:val="0"/>
                <w:color w:val="auto"/>
                <w:kern w:val="2"/>
                <w:sz w:val="24"/>
                <w:szCs w:val="24"/>
                <w:highlight w:val="none"/>
                <w:u w:val="none"/>
                <w:lang w:val="en-US" w:eastAsia="zh-CN" w:bidi="ar-SA"/>
              </w:rPr>
              <w:t>小</w:t>
            </w:r>
            <w:r>
              <w:rPr>
                <w:rFonts w:hint="eastAsia" w:ascii="仿宋" w:hAnsi="仿宋" w:eastAsia="仿宋" w:cs="仿宋"/>
                <w:i w:val="0"/>
                <w:iCs w:val="0"/>
                <w:color w:val="auto"/>
                <w:kern w:val="0"/>
                <w:sz w:val="24"/>
                <w:szCs w:val="24"/>
                <w:highlight w:val="none"/>
                <w:u w:val="none"/>
                <w:lang w:bidi="ar"/>
              </w:rPr>
              <w:t>时内需响应服务，</w:t>
            </w:r>
            <w:r>
              <w:rPr>
                <w:rFonts w:hint="eastAsia" w:ascii="仿宋" w:hAnsi="仿宋" w:eastAsia="仿宋" w:cs="仿宋"/>
                <w:i w:val="0"/>
                <w:iCs w:val="0"/>
                <w:color w:val="auto"/>
                <w:kern w:val="0"/>
                <w:sz w:val="24"/>
                <w:szCs w:val="24"/>
                <w:highlight w:val="none"/>
                <w:u w:val="none"/>
                <w:lang w:val="en-US" w:eastAsia="zh-CN" w:bidi="ar"/>
              </w:rPr>
              <w:t>3</w:t>
            </w:r>
            <w:r>
              <w:rPr>
                <w:rFonts w:hint="eastAsia" w:ascii="仿宋" w:hAnsi="仿宋" w:eastAsia="仿宋" w:cs="仿宋"/>
                <w:b w:val="0"/>
                <w:i w:val="0"/>
                <w:iCs w:val="0"/>
                <w:color w:val="auto"/>
                <w:kern w:val="2"/>
                <w:sz w:val="24"/>
                <w:szCs w:val="24"/>
                <w:highlight w:val="none"/>
                <w:u w:val="none"/>
                <w:lang w:val="en-US" w:eastAsia="zh-CN" w:bidi="ar-SA"/>
              </w:rPr>
              <w:t>小</w:t>
            </w:r>
            <w:r>
              <w:rPr>
                <w:rFonts w:hint="eastAsia" w:ascii="仿宋" w:hAnsi="仿宋" w:eastAsia="仿宋" w:cs="仿宋"/>
                <w:i w:val="0"/>
                <w:iCs w:val="0"/>
                <w:color w:val="auto"/>
                <w:kern w:val="0"/>
                <w:sz w:val="24"/>
                <w:szCs w:val="24"/>
                <w:highlight w:val="none"/>
                <w:u w:val="none"/>
                <w:lang w:bidi="ar"/>
              </w:rPr>
              <w:t>时</w:t>
            </w:r>
            <w:r>
              <w:rPr>
                <w:rFonts w:hint="eastAsia" w:ascii="仿宋" w:hAnsi="仿宋" w:eastAsia="仿宋" w:cs="仿宋"/>
                <w:i w:val="0"/>
                <w:iCs w:val="0"/>
                <w:color w:val="auto"/>
                <w:kern w:val="0"/>
                <w:sz w:val="24"/>
                <w:szCs w:val="24"/>
                <w:highlight w:val="none"/>
                <w:u w:val="none"/>
                <w:lang w:val="en-US" w:eastAsia="zh-CN" w:bidi="ar"/>
              </w:rPr>
              <w:t>响应不得分，</w:t>
            </w:r>
            <w:r>
              <w:rPr>
                <w:rFonts w:hint="eastAsia" w:ascii="仿宋" w:hAnsi="仿宋" w:eastAsia="仿宋" w:cs="仿宋"/>
                <w:i w:val="0"/>
                <w:iCs w:val="0"/>
                <w:color w:val="auto"/>
                <w:kern w:val="0"/>
                <w:sz w:val="24"/>
                <w:szCs w:val="24"/>
                <w:highlight w:val="none"/>
                <w:u w:val="none"/>
                <w:lang w:bidi="ar"/>
              </w:rPr>
              <w:t>每减少0.5小时加 1分，最高加</w:t>
            </w:r>
            <w:r>
              <w:rPr>
                <w:rFonts w:hint="eastAsia" w:ascii="仿宋" w:hAnsi="仿宋" w:eastAsia="仿宋" w:cs="仿宋"/>
                <w:i w:val="0"/>
                <w:iCs w:val="0"/>
                <w:color w:val="auto"/>
                <w:kern w:val="0"/>
                <w:sz w:val="24"/>
                <w:szCs w:val="24"/>
                <w:highlight w:val="none"/>
                <w:u w:val="none"/>
                <w:lang w:val="en-US" w:eastAsia="zh-CN" w:bidi="ar"/>
              </w:rPr>
              <w:t>4</w:t>
            </w:r>
            <w:r>
              <w:rPr>
                <w:rFonts w:hint="eastAsia" w:ascii="仿宋" w:hAnsi="仿宋" w:eastAsia="仿宋" w:cs="仿宋"/>
                <w:i w:val="0"/>
                <w:iCs w:val="0"/>
                <w:color w:val="auto"/>
                <w:kern w:val="0"/>
                <w:sz w:val="24"/>
                <w:szCs w:val="24"/>
                <w:highlight w:val="none"/>
                <w:u w:val="none"/>
                <w:lang w:bidi="ar"/>
              </w:rPr>
              <w:t>分。</w:t>
            </w:r>
          </w:p>
          <w:p w14:paraId="73F61674">
            <w:pPr>
              <w:keepNext w:val="0"/>
              <w:keepLines w:val="0"/>
              <w:pageBreakBefore w:val="0"/>
              <w:kinsoku/>
              <w:wordWrap/>
              <w:overflowPunct/>
              <w:topLinePunct w:val="0"/>
              <w:autoSpaceDE/>
              <w:autoSpaceDN/>
              <w:bidi w:val="0"/>
              <w:spacing w:line="400" w:lineRule="atLeast"/>
              <w:ind w:firstLine="241" w:firstLineChars="100"/>
              <w:textAlignment w:val="auto"/>
              <w:rPr>
                <w:rFonts w:hint="eastAsia" w:ascii="仿宋" w:hAnsi="仿宋" w:eastAsia="仿宋" w:cs="仿宋"/>
                <w:sz w:val="24"/>
                <w:szCs w:val="24"/>
                <w:lang w:val="en-US" w:eastAsia="zh-CN"/>
              </w:rPr>
            </w:pPr>
            <w:r>
              <w:rPr>
                <w:rFonts w:hint="eastAsia" w:ascii="仿宋" w:hAnsi="仿宋" w:eastAsia="仿宋" w:cs="仿宋"/>
                <w:b/>
                <w:bCs w:val="0"/>
                <w:i w:val="0"/>
                <w:iCs w:val="0"/>
                <w:color w:val="auto"/>
                <w:sz w:val="24"/>
                <w:szCs w:val="24"/>
                <w:highlight w:val="none"/>
                <w:u w:val="none"/>
                <w:lang w:bidi="ar"/>
              </w:rPr>
              <w:t>需提供响应时间承诺及服务点</w:t>
            </w:r>
            <w:r>
              <w:rPr>
                <w:rFonts w:hint="eastAsia" w:ascii="仿宋" w:hAnsi="仿宋" w:eastAsia="仿宋" w:cs="仿宋"/>
                <w:b/>
                <w:bCs w:val="0"/>
                <w:i w:val="0"/>
                <w:iCs w:val="0"/>
                <w:color w:val="auto"/>
                <w:sz w:val="24"/>
                <w:szCs w:val="24"/>
                <w:highlight w:val="none"/>
                <w:u w:val="none"/>
                <w:lang w:val="en-US" w:eastAsia="zh-CN" w:bidi="ar"/>
              </w:rPr>
              <w:t>与学校距离的截图</w:t>
            </w:r>
            <w:r>
              <w:rPr>
                <w:rFonts w:hint="eastAsia" w:ascii="仿宋" w:hAnsi="仿宋" w:eastAsia="仿宋" w:cs="仿宋"/>
                <w:b/>
                <w:bCs w:val="0"/>
                <w:i w:val="0"/>
                <w:iCs w:val="0"/>
                <w:color w:val="auto"/>
                <w:sz w:val="24"/>
                <w:szCs w:val="24"/>
                <w:highlight w:val="none"/>
                <w:u w:val="none"/>
                <w:lang w:bidi="ar"/>
              </w:rPr>
              <w:t>。</w:t>
            </w:r>
          </w:p>
        </w:tc>
        <w:tc>
          <w:tcPr>
            <w:tcW w:w="876" w:type="dxa"/>
            <w:vAlign w:val="center"/>
          </w:tcPr>
          <w:p w14:paraId="5B1C4F31">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rPr>
              <w:t>1</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分</w:t>
            </w:r>
          </w:p>
        </w:tc>
      </w:tr>
      <w:tr w14:paraId="39BC0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4" w:hRule="atLeast"/>
        </w:trPr>
        <w:tc>
          <w:tcPr>
            <w:tcW w:w="756" w:type="dxa"/>
            <w:vAlign w:val="center"/>
          </w:tcPr>
          <w:p w14:paraId="33FC0E7F">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lang w:val="en-US" w:eastAsia="zh-CN"/>
              </w:rPr>
              <w:t>8</w:t>
            </w:r>
          </w:p>
        </w:tc>
        <w:tc>
          <w:tcPr>
            <w:tcW w:w="1059" w:type="dxa"/>
            <w:vAlign w:val="center"/>
          </w:tcPr>
          <w:p w14:paraId="579556A5">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企业</w:t>
            </w:r>
          </w:p>
          <w:p w14:paraId="69EA6EE1">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rPr>
              <w:t>实力</w:t>
            </w:r>
          </w:p>
        </w:tc>
        <w:tc>
          <w:tcPr>
            <w:tcW w:w="6364" w:type="dxa"/>
            <w:vAlign w:val="center"/>
          </w:tcPr>
          <w:p w14:paraId="5B2B618B">
            <w:pPr>
              <w:keepNext w:val="0"/>
              <w:keepLines w:val="0"/>
              <w:pageBreakBefore w:val="0"/>
              <w:tabs>
                <w:tab w:val="left" w:pos="1080"/>
              </w:tabs>
              <w:kinsoku/>
              <w:wordWrap/>
              <w:overflowPunct/>
              <w:topLinePunct w:val="0"/>
              <w:autoSpaceDE/>
              <w:autoSpaceDN/>
              <w:bidi w:val="0"/>
              <w:spacing w:line="400" w:lineRule="atLeast"/>
              <w:ind w:firstLine="240" w:firstLineChars="1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根据投标人提供的政府行政职能部门或行业主管部门授予的投标企业荣誉证书（复印件并加盖投标人公章）进行评分：</w:t>
            </w:r>
          </w:p>
          <w:p w14:paraId="462C7E5A">
            <w:pPr>
              <w:keepNext w:val="0"/>
              <w:keepLines w:val="0"/>
              <w:pageBreakBefore w:val="0"/>
              <w:tabs>
                <w:tab w:val="left" w:pos="1080"/>
              </w:tabs>
              <w:kinsoku/>
              <w:wordWrap/>
              <w:overflowPunct/>
              <w:topLinePunct w:val="0"/>
              <w:autoSpaceDE/>
              <w:autoSpaceDN/>
              <w:bidi w:val="0"/>
              <w:spacing w:line="400" w:lineRule="atLeast"/>
              <w:ind w:firstLine="241" w:firstLineChars="100"/>
              <w:jc w:val="left"/>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lang w:val="en-US" w:eastAsia="zh-CN"/>
              </w:rPr>
              <w:t>（1）</w:t>
            </w:r>
            <w:r>
              <w:rPr>
                <w:rFonts w:hint="eastAsia" w:ascii="仿宋" w:hAnsi="仿宋" w:eastAsia="仿宋" w:cs="仿宋"/>
                <w:color w:val="auto"/>
                <w:sz w:val="24"/>
                <w:szCs w:val="24"/>
                <w:highlight w:val="none"/>
              </w:rPr>
              <w:t>国家级，包含国务院所属的部、委、办、局授予的荣誉得3分；</w:t>
            </w:r>
          </w:p>
          <w:p w14:paraId="34C5FBC0">
            <w:pPr>
              <w:keepNext w:val="0"/>
              <w:keepLines w:val="0"/>
              <w:pageBreakBefore w:val="0"/>
              <w:tabs>
                <w:tab w:val="left" w:pos="1080"/>
              </w:tabs>
              <w:kinsoku/>
              <w:wordWrap/>
              <w:overflowPunct/>
              <w:topLinePunct w:val="0"/>
              <w:autoSpaceDE/>
              <w:autoSpaceDN/>
              <w:bidi w:val="0"/>
              <w:spacing w:line="400" w:lineRule="atLeast"/>
              <w:ind w:firstLine="241" w:firstLineChars="100"/>
              <w:jc w:val="left"/>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lang w:val="en-US" w:eastAsia="zh-CN"/>
              </w:rPr>
              <w:t>（2）</w:t>
            </w:r>
            <w:r>
              <w:rPr>
                <w:rFonts w:hint="eastAsia" w:ascii="仿宋" w:hAnsi="仿宋" w:eastAsia="仿宋" w:cs="仿宋"/>
                <w:color w:val="auto"/>
                <w:sz w:val="24"/>
                <w:szCs w:val="24"/>
                <w:highlight w:val="none"/>
              </w:rPr>
              <w:t>省级，包含省政府所属的部、委、办、局（厅）授予的荣誉得2分；</w:t>
            </w:r>
          </w:p>
          <w:p w14:paraId="443B7859">
            <w:pPr>
              <w:keepNext w:val="0"/>
              <w:keepLines w:val="0"/>
              <w:pageBreakBefore w:val="0"/>
              <w:tabs>
                <w:tab w:val="left" w:pos="1080"/>
              </w:tabs>
              <w:kinsoku/>
              <w:wordWrap/>
              <w:overflowPunct/>
              <w:topLinePunct w:val="0"/>
              <w:autoSpaceDE/>
              <w:autoSpaceDN/>
              <w:bidi w:val="0"/>
              <w:spacing w:line="400" w:lineRule="atLeast"/>
              <w:ind w:firstLine="241" w:firstLineChars="100"/>
              <w:jc w:val="left"/>
              <w:textAlignment w:val="auto"/>
              <w:rPr>
                <w:rFonts w:hint="eastAsia" w:ascii="仿宋" w:hAnsi="仿宋" w:eastAsia="仿宋" w:cs="仿宋"/>
                <w:color w:val="auto"/>
                <w:sz w:val="24"/>
                <w:szCs w:val="24"/>
                <w:highlight w:val="none"/>
              </w:rPr>
            </w:pPr>
            <w:r>
              <w:rPr>
                <w:rFonts w:hint="eastAsia" w:ascii="仿宋" w:hAnsi="仿宋" w:eastAsia="仿宋" w:cs="仿宋"/>
                <w:b/>
                <w:bCs/>
                <w:color w:val="auto"/>
                <w:sz w:val="24"/>
                <w:szCs w:val="24"/>
                <w:highlight w:val="none"/>
                <w:lang w:val="en-US" w:eastAsia="zh-CN"/>
              </w:rPr>
              <w:t>（3）</w:t>
            </w:r>
            <w:r>
              <w:rPr>
                <w:rFonts w:hint="eastAsia" w:ascii="仿宋" w:hAnsi="仿宋" w:eastAsia="仿宋" w:cs="仿宋"/>
                <w:color w:val="auto"/>
                <w:sz w:val="24"/>
                <w:szCs w:val="24"/>
                <w:highlight w:val="none"/>
              </w:rPr>
              <w:t>市级，包含市政府所属的部、委、办、局或区、县政府授予的荣誉得1分；</w:t>
            </w:r>
          </w:p>
          <w:p w14:paraId="47484410">
            <w:pPr>
              <w:keepNext w:val="0"/>
              <w:keepLines w:val="0"/>
              <w:pageBreakBefore w:val="0"/>
              <w:tabs>
                <w:tab w:val="left" w:pos="1080"/>
              </w:tabs>
              <w:kinsoku/>
              <w:wordWrap/>
              <w:overflowPunct/>
              <w:topLinePunct w:val="0"/>
              <w:autoSpaceDE/>
              <w:autoSpaceDN/>
              <w:bidi w:val="0"/>
              <w:spacing w:line="400" w:lineRule="atLeast"/>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同一荣誉</w:t>
            </w:r>
            <w:r>
              <w:rPr>
                <w:rFonts w:hint="eastAsia" w:ascii="仿宋" w:hAnsi="仿宋" w:eastAsia="仿宋" w:cs="仿宋"/>
                <w:color w:val="auto"/>
                <w:sz w:val="24"/>
                <w:szCs w:val="24"/>
                <w:highlight w:val="none"/>
              </w:rPr>
              <w:t>以最高</w:t>
            </w:r>
            <w:r>
              <w:rPr>
                <w:rFonts w:hint="eastAsia" w:ascii="仿宋" w:hAnsi="仿宋" w:eastAsia="仿宋" w:cs="仿宋"/>
                <w:color w:val="auto"/>
                <w:sz w:val="24"/>
                <w:szCs w:val="24"/>
                <w:highlight w:val="none"/>
                <w:lang w:val="en-US" w:eastAsia="zh-CN"/>
              </w:rPr>
              <w:t>级别</w:t>
            </w:r>
            <w:r>
              <w:rPr>
                <w:rFonts w:hint="eastAsia" w:ascii="仿宋" w:hAnsi="仿宋" w:eastAsia="仿宋" w:cs="仿宋"/>
                <w:color w:val="auto"/>
                <w:sz w:val="24"/>
                <w:szCs w:val="24"/>
                <w:highlight w:val="none"/>
              </w:rPr>
              <w:t>计分，不得累计加分</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最高得6分</w:t>
            </w:r>
            <w:r>
              <w:rPr>
                <w:rFonts w:hint="eastAsia" w:ascii="仿宋" w:hAnsi="仿宋" w:eastAsia="仿宋" w:cs="仿宋"/>
                <w:color w:val="auto"/>
                <w:sz w:val="24"/>
                <w:szCs w:val="24"/>
                <w:highlight w:val="none"/>
              </w:rPr>
              <w:t>）</w:t>
            </w:r>
          </w:p>
          <w:p w14:paraId="2B549EE2">
            <w:pPr>
              <w:keepNext w:val="0"/>
              <w:keepLines w:val="0"/>
              <w:pageBreakBefore w:val="0"/>
              <w:kinsoku/>
              <w:wordWrap/>
              <w:overflowPunct/>
              <w:topLinePunct w:val="0"/>
              <w:autoSpaceDE/>
              <w:autoSpaceDN/>
              <w:bidi w:val="0"/>
              <w:spacing w:line="400" w:lineRule="atLeast"/>
              <w:ind w:firstLine="241" w:firstLineChars="100"/>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bCs/>
                <w:color w:val="auto"/>
                <w:sz w:val="24"/>
                <w:szCs w:val="24"/>
                <w:highlight w:val="none"/>
                <w:u w:val="none"/>
                <w:lang w:val="en-US" w:eastAsia="zh-CN"/>
              </w:rPr>
              <w:t>提供证书复印件并加盖投标人公章或国家市场监督总局全国认证认可信息公共服务平台查询结果截图，以上证书未提供不得分。</w:t>
            </w:r>
          </w:p>
        </w:tc>
        <w:tc>
          <w:tcPr>
            <w:tcW w:w="876" w:type="dxa"/>
            <w:vAlign w:val="center"/>
          </w:tcPr>
          <w:p w14:paraId="6F9DFB17">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分</w:t>
            </w:r>
          </w:p>
        </w:tc>
      </w:tr>
      <w:tr w14:paraId="1A4BC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9" w:hRule="atLeast"/>
        </w:trPr>
        <w:tc>
          <w:tcPr>
            <w:tcW w:w="756" w:type="dxa"/>
            <w:vAlign w:val="center"/>
          </w:tcPr>
          <w:p w14:paraId="398687EB">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lang w:val="en-US" w:eastAsia="zh-CN"/>
              </w:rPr>
              <w:t>9</w:t>
            </w:r>
          </w:p>
        </w:tc>
        <w:tc>
          <w:tcPr>
            <w:tcW w:w="1059" w:type="dxa"/>
            <w:vAlign w:val="center"/>
          </w:tcPr>
          <w:p w14:paraId="5C5D8FF0">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企业</w:t>
            </w:r>
          </w:p>
          <w:p w14:paraId="28C9B428">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rPr>
              <w:t>业绩</w:t>
            </w:r>
          </w:p>
        </w:tc>
        <w:tc>
          <w:tcPr>
            <w:tcW w:w="6364" w:type="dxa"/>
            <w:vAlign w:val="center"/>
          </w:tcPr>
          <w:p w14:paraId="48C3E6DE">
            <w:pPr>
              <w:keepNext w:val="0"/>
              <w:keepLines w:val="0"/>
              <w:pageBreakBefore w:val="0"/>
              <w:widowControl/>
              <w:kinsoku/>
              <w:wordWrap/>
              <w:overflowPunct/>
              <w:topLinePunct w:val="0"/>
              <w:autoSpaceDE/>
              <w:autoSpaceDN/>
              <w:bidi w:val="0"/>
              <w:snapToGrid w:val="0"/>
              <w:spacing w:line="400" w:lineRule="atLeast"/>
              <w:ind w:firstLine="240" w:firstLineChars="100"/>
              <w:jc w:val="left"/>
              <w:textAlignment w:val="auto"/>
              <w:rPr>
                <w:rFonts w:hint="eastAsia" w:ascii="仿宋" w:hAnsi="仿宋" w:eastAsia="仿宋" w:cs="仿宋"/>
                <w:color w:val="auto"/>
                <w:kern w:val="0"/>
                <w:sz w:val="24"/>
                <w:szCs w:val="24"/>
                <w:highlight w:val="none"/>
                <w:lang w:bidi="ar"/>
              </w:rPr>
            </w:pPr>
            <w:r>
              <w:rPr>
                <w:rFonts w:hint="eastAsia" w:ascii="仿宋" w:hAnsi="仿宋" w:eastAsia="仿宋" w:cs="仿宋"/>
                <w:color w:val="auto"/>
                <w:kern w:val="0"/>
                <w:sz w:val="24"/>
                <w:szCs w:val="24"/>
                <w:highlight w:val="none"/>
                <w:lang w:bidi="ar"/>
              </w:rPr>
              <w:t>投标人自 202</w:t>
            </w:r>
            <w:r>
              <w:rPr>
                <w:rFonts w:hint="eastAsia" w:ascii="仿宋" w:hAnsi="仿宋" w:eastAsia="仿宋" w:cs="仿宋"/>
                <w:color w:val="auto"/>
                <w:kern w:val="0"/>
                <w:sz w:val="24"/>
                <w:szCs w:val="24"/>
                <w:highlight w:val="none"/>
                <w:lang w:val="en-US" w:eastAsia="zh-CN" w:bidi="ar"/>
              </w:rPr>
              <w:t>2</w:t>
            </w:r>
            <w:r>
              <w:rPr>
                <w:rFonts w:hint="eastAsia" w:ascii="仿宋" w:hAnsi="仿宋" w:eastAsia="仿宋" w:cs="仿宋"/>
                <w:color w:val="auto"/>
                <w:kern w:val="0"/>
                <w:sz w:val="24"/>
                <w:szCs w:val="24"/>
                <w:highlight w:val="none"/>
                <w:lang w:bidi="ar"/>
              </w:rPr>
              <w:t>年 1 月 1 日以来（以合同签订日期为准）承担过同类项目业绩的每项得</w:t>
            </w:r>
            <w:r>
              <w:rPr>
                <w:rFonts w:hint="eastAsia" w:ascii="仿宋" w:hAnsi="仿宋" w:eastAsia="仿宋" w:cs="仿宋"/>
                <w:color w:val="auto"/>
                <w:kern w:val="0"/>
                <w:sz w:val="24"/>
                <w:szCs w:val="24"/>
                <w:highlight w:val="none"/>
                <w:lang w:val="en-US" w:eastAsia="zh-CN" w:bidi="ar"/>
              </w:rPr>
              <w:t>2</w:t>
            </w:r>
            <w:r>
              <w:rPr>
                <w:rFonts w:hint="eastAsia" w:ascii="仿宋" w:hAnsi="仿宋" w:eastAsia="仿宋" w:cs="仿宋"/>
                <w:color w:val="auto"/>
                <w:kern w:val="0"/>
                <w:sz w:val="24"/>
                <w:szCs w:val="24"/>
                <w:highlight w:val="none"/>
                <w:lang w:bidi="ar"/>
              </w:rPr>
              <w:t>分，最高可得4分。</w:t>
            </w:r>
          </w:p>
          <w:p w14:paraId="7FEAC1E8">
            <w:pPr>
              <w:keepNext w:val="0"/>
              <w:keepLines w:val="0"/>
              <w:pageBreakBefore w:val="0"/>
              <w:kinsoku/>
              <w:wordWrap/>
              <w:overflowPunct/>
              <w:topLinePunct w:val="0"/>
              <w:autoSpaceDE/>
              <w:autoSpaceDN/>
              <w:bidi w:val="0"/>
              <w:spacing w:line="400" w:lineRule="atLeast"/>
              <w:ind w:firstLine="241" w:firstLineChars="100"/>
              <w:jc w:val="left"/>
              <w:textAlignment w:val="auto"/>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color w:val="auto"/>
                <w:sz w:val="24"/>
                <w:szCs w:val="24"/>
                <w:highlight w:val="none"/>
                <w:u w:val="none"/>
              </w:rPr>
              <w:t>提供合同扫描件</w:t>
            </w:r>
            <w:r>
              <w:rPr>
                <w:rFonts w:hint="eastAsia" w:ascii="仿宋" w:hAnsi="仿宋" w:eastAsia="仿宋" w:cs="仿宋"/>
                <w:b/>
                <w:color w:val="auto"/>
                <w:sz w:val="24"/>
                <w:szCs w:val="24"/>
                <w:highlight w:val="none"/>
                <w:u w:val="none"/>
                <w:lang w:val="en-US" w:eastAsia="zh-CN"/>
              </w:rPr>
              <w:t>并加盖公章</w:t>
            </w:r>
            <w:r>
              <w:rPr>
                <w:rFonts w:hint="eastAsia" w:ascii="仿宋" w:hAnsi="仿宋" w:eastAsia="仿宋" w:cs="仿宋"/>
                <w:b/>
                <w:color w:val="auto"/>
                <w:sz w:val="24"/>
                <w:szCs w:val="24"/>
                <w:highlight w:val="none"/>
                <w:u w:val="none"/>
              </w:rPr>
              <w:t>，须体现项目建设内容，合同中未体现项目特征的，须提供业主证明文件，未提供或未体现的不得分</w:t>
            </w:r>
            <w:r>
              <w:rPr>
                <w:rFonts w:hint="eastAsia" w:ascii="仿宋" w:hAnsi="仿宋" w:eastAsia="仿宋" w:cs="仿宋"/>
                <w:color w:val="auto"/>
                <w:sz w:val="24"/>
                <w:szCs w:val="24"/>
                <w:highlight w:val="none"/>
                <w:u w:val="none"/>
              </w:rPr>
              <w:t>。</w:t>
            </w:r>
          </w:p>
        </w:tc>
        <w:tc>
          <w:tcPr>
            <w:tcW w:w="876" w:type="dxa"/>
            <w:vAlign w:val="center"/>
          </w:tcPr>
          <w:p w14:paraId="49B4E1AC">
            <w:pPr>
              <w:keepNext w:val="0"/>
              <w:keepLines w:val="0"/>
              <w:pageBreakBefore w:val="0"/>
              <w:kinsoku/>
              <w:wordWrap/>
              <w:overflowPunct/>
              <w:topLinePunct w:val="0"/>
              <w:autoSpaceDE/>
              <w:autoSpaceDN/>
              <w:bidi w:val="0"/>
              <w:spacing w:line="400" w:lineRule="atLeast"/>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color w:val="auto"/>
                <w:sz w:val="24"/>
                <w:szCs w:val="24"/>
                <w:highlight w:val="none"/>
              </w:rPr>
              <w:t>4分</w:t>
            </w:r>
          </w:p>
        </w:tc>
      </w:tr>
    </w:tbl>
    <w:p w14:paraId="2DBB17CF">
      <w:pPr>
        <w:rPr>
          <w:rFonts w:hint="eastAsia" w:ascii="仿宋" w:hAnsi="仿宋" w:eastAsia="仿宋" w:cs="仿宋"/>
          <w:sz w:val="28"/>
          <w:szCs w:val="28"/>
        </w:rPr>
      </w:pPr>
      <w:r>
        <w:rPr>
          <w:rFonts w:hint="eastAsia" w:ascii="仿宋" w:hAnsi="仿宋" w:eastAsia="仿宋" w:cs="仿宋"/>
          <w:sz w:val="28"/>
          <w:szCs w:val="28"/>
        </w:rPr>
        <w:br w:type="page"/>
      </w:r>
    </w:p>
    <w:p w14:paraId="35438F7B">
      <w:pPr>
        <w:jc w:val="left"/>
        <w:rPr>
          <w:rFonts w:hint="eastAsia" w:ascii="仿宋" w:hAnsi="仿宋" w:eastAsia="仿宋" w:cs="仿宋"/>
          <w:sz w:val="28"/>
          <w:szCs w:val="28"/>
        </w:rPr>
      </w:pPr>
      <w:r>
        <w:rPr>
          <w:rFonts w:hint="eastAsia" w:ascii="仿宋" w:hAnsi="仿宋" w:eastAsia="仿宋" w:cs="仿宋"/>
          <w:sz w:val="28"/>
          <w:szCs w:val="28"/>
        </w:rPr>
        <w:t>附录3</w:t>
      </w:r>
    </w:p>
    <w:p w14:paraId="1685CEF8">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0AFFECFA">
      <w:pPr>
        <w:ind w:firstLine="480"/>
        <w:jc w:val="right"/>
        <w:rPr>
          <w:rFonts w:ascii="Times New Roman" w:hAnsi="Times New Roman" w:eastAsia="宋体" w:cs="Times New Roman"/>
          <w:szCs w:val="22"/>
        </w:rPr>
      </w:pPr>
    </w:p>
    <w:p w14:paraId="550D7CAC">
      <w:pPr>
        <w:jc w:val="center"/>
        <w:rPr>
          <w:rFonts w:ascii="Times New Roman" w:hAnsi="Times New Roman" w:eastAsia="宋体" w:cs="Times New Roman"/>
          <w:sz w:val="84"/>
          <w:szCs w:val="84"/>
        </w:rPr>
      </w:pPr>
    </w:p>
    <w:p w14:paraId="69ABDC2C">
      <w:pPr>
        <w:jc w:val="center"/>
        <w:rPr>
          <w:rFonts w:ascii="Times New Roman" w:hAnsi="Times New Roman" w:eastAsia="宋体" w:cs="Times New Roman"/>
          <w:sz w:val="84"/>
          <w:szCs w:val="84"/>
        </w:rPr>
      </w:pPr>
    </w:p>
    <w:p w14:paraId="527568F2">
      <w:pPr>
        <w:jc w:val="center"/>
        <w:rPr>
          <w:rFonts w:ascii="Times New Roman" w:hAnsi="Times New Roman" w:eastAsia="宋体" w:cs="Times New Roman"/>
          <w:sz w:val="84"/>
          <w:szCs w:val="84"/>
        </w:rPr>
      </w:pPr>
    </w:p>
    <w:p w14:paraId="525AFC54">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资格文件</w:t>
      </w:r>
    </w:p>
    <w:p w14:paraId="2892B58C">
      <w:pPr>
        <w:jc w:val="center"/>
        <w:rPr>
          <w:rFonts w:ascii="Times New Roman" w:hAnsi="Times New Roman" w:eastAsia="宋体" w:cs="Times New Roman"/>
          <w:szCs w:val="22"/>
        </w:rPr>
      </w:pPr>
    </w:p>
    <w:p w14:paraId="4A12FBBA">
      <w:pPr>
        <w:jc w:val="center"/>
        <w:rPr>
          <w:rFonts w:ascii="Times New Roman" w:hAnsi="Times New Roman" w:eastAsia="宋体" w:cs="Times New Roman"/>
          <w:szCs w:val="22"/>
        </w:rPr>
      </w:pPr>
    </w:p>
    <w:p w14:paraId="17D85685">
      <w:pPr>
        <w:jc w:val="center"/>
        <w:rPr>
          <w:rFonts w:ascii="Times New Roman" w:hAnsi="Times New Roman" w:eastAsia="宋体" w:cs="Times New Roman"/>
          <w:szCs w:val="22"/>
        </w:rPr>
      </w:pPr>
    </w:p>
    <w:p w14:paraId="7EEF463F">
      <w:pPr>
        <w:jc w:val="center"/>
        <w:rPr>
          <w:rFonts w:ascii="Times New Roman" w:hAnsi="Times New Roman" w:eastAsia="宋体" w:cs="Times New Roman"/>
          <w:szCs w:val="22"/>
        </w:rPr>
      </w:pPr>
    </w:p>
    <w:p w14:paraId="6829DE22">
      <w:pPr>
        <w:jc w:val="center"/>
        <w:rPr>
          <w:rFonts w:ascii="Times New Roman" w:hAnsi="Times New Roman" w:eastAsia="宋体" w:cs="Times New Roman"/>
          <w:szCs w:val="22"/>
        </w:rPr>
      </w:pPr>
    </w:p>
    <w:p w14:paraId="08CC5ED7">
      <w:pPr>
        <w:jc w:val="center"/>
        <w:rPr>
          <w:rFonts w:ascii="Times New Roman" w:hAnsi="Times New Roman" w:eastAsia="宋体" w:cs="Times New Roman"/>
          <w:szCs w:val="22"/>
        </w:rPr>
      </w:pPr>
    </w:p>
    <w:p w14:paraId="00B25680">
      <w:pPr>
        <w:jc w:val="center"/>
        <w:rPr>
          <w:rFonts w:ascii="Times New Roman" w:hAnsi="Times New Roman" w:eastAsia="宋体" w:cs="Times New Roman"/>
          <w:szCs w:val="22"/>
        </w:rPr>
      </w:pPr>
    </w:p>
    <w:p w14:paraId="3D6AC659">
      <w:pPr>
        <w:jc w:val="center"/>
        <w:rPr>
          <w:rFonts w:ascii="Times New Roman" w:hAnsi="Times New Roman" w:eastAsia="宋体" w:cs="Times New Roman"/>
          <w:szCs w:val="22"/>
        </w:rPr>
      </w:pPr>
    </w:p>
    <w:p w14:paraId="6DBAE4DC">
      <w:pPr>
        <w:pStyle w:val="13"/>
        <w:ind w:firstLine="280"/>
      </w:pPr>
      <w:r>
        <w:rPr>
          <w:rFonts w:hint="eastAsia"/>
        </w:rPr>
        <w:t>项目名称：</w:t>
      </w:r>
    </w:p>
    <w:p w14:paraId="73B65455">
      <w:pPr>
        <w:pStyle w:val="13"/>
        <w:ind w:firstLine="280"/>
      </w:pPr>
      <w:r>
        <w:rPr>
          <w:rFonts w:hint="eastAsia"/>
        </w:rPr>
        <w:t>项目编号：</w:t>
      </w:r>
    </w:p>
    <w:p w14:paraId="4218E50A">
      <w:pPr>
        <w:pStyle w:val="13"/>
        <w:ind w:firstLine="280"/>
      </w:pPr>
      <w:r>
        <w:rPr>
          <w:rFonts w:hint="eastAsia"/>
        </w:rPr>
        <w:t>投标人名称：</w:t>
      </w:r>
    </w:p>
    <w:p w14:paraId="3BA11921">
      <w:pPr>
        <w:pStyle w:val="13"/>
        <w:ind w:firstLine="280"/>
      </w:pPr>
      <w:r>
        <w:rPr>
          <w:rFonts w:hint="eastAsia"/>
        </w:rPr>
        <w:t>投标人地址：</w:t>
      </w:r>
    </w:p>
    <w:p w14:paraId="202F5B31">
      <w:pPr>
        <w:pStyle w:val="13"/>
        <w:ind w:firstLine="280"/>
      </w:pPr>
      <w:r>
        <w:rPr>
          <w:rFonts w:hint="eastAsia"/>
        </w:rPr>
        <w:t>在    年    月    日    时    分之前不得启封</w:t>
      </w:r>
    </w:p>
    <w:p w14:paraId="7FE8B873">
      <w:pPr>
        <w:ind w:firstLine="480"/>
        <w:jc w:val="right"/>
        <w:rPr>
          <w:rFonts w:ascii="Times New Roman" w:hAnsi="Times New Roman" w:eastAsia="宋体" w:cs="Times New Roman"/>
          <w:sz w:val="28"/>
        </w:rPr>
      </w:pPr>
    </w:p>
    <w:p w14:paraId="3BAD4A86">
      <w:pPr>
        <w:ind w:firstLine="480"/>
        <w:jc w:val="right"/>
        <w:rPr>
          <w:rFonts w:ascii="Times New Roman" w:hAnsi="Times New Roman" w:eastAsia="宋体" w:cs="Times New Roman"/>
          <w:sz w:val="28"/>
        </w:rPr>
      </w:pPr>
      <w:r>
        <w:rPr>
          <w:rFonts w:hint="eastAsia" w:ascii="Times New Roman" w:hAnsi="Times New Roman" w:eastAsia="宋体" w:cs="Times New Roman"/>
          <w:sz w:val="28"/>
        </w:rPr>
        <w:t>年  月  日</w:t>
      </w:r>
    </w:p>
    <w:p w14:paraId="4776C9C8">
      <w:pPr>
        <w:rPr>
          <w:rFonts w:ascii="Times New Roman" w:hAnsi="Times New Roman" w:eastAsia="宋体" w:cs="Times New Roman"/>
          <w:szCs w:val="22"/>
          <w:lang w:eastAsia="zh-Hans"/>
        </w:rPr>
      </w:pPr>
      <w:r>
        <w:rPr>
          <w:rFonts w:hint="eastAsia" w:ascii="Times New Roman" w:hAnsi="Times New Roman" w:eastAsia="宋体" w:cs="Times New Roman"/>
          <w:szCs w:val="22"/>
        </w:rPr>
        <w:br w:type="page"/>
      </w:r>
    </w:p>
    <w:p w14:paraId="5DD874BF">
      <w:pPr>
        <w:pStyle w:val="21"/>
        <w:numPr>
          <w:ilvl w:val="0"/>
          <w:numId w:val="17"/>
        </w:numPr>
        <w:ind w:firstLineChars="0"/>
        <w:rPr>
          <w:rFonts w:ascii="仿宋" w:hAnsi="仿宋" w:eastAsia="仿宋" w:cs="仿宋"/>
          <w:sz w:val="32"/>
          <w:szCs w:val="32"/>
        </w:rPr>
      </w:pPr>
      <w:r>
        <w:rPr>
          <w:rFonts w:ascii="仿宋" w:hAnsi="仿宋" w:eastAsia="仿宋" w:cs="仿宋"/>
          <w:sz w:val="32"/>
          <w:szCs w:val="32"/>
        </w:rPr>
        <w:t>有效的营业执照复印件，非法人企业需提供其他证明材料（加盖公章）；</w:t>
      </w:r>
    </w:p>
    <w:p w14:paraId="133E461B">
      <w:pPr>
        <w:pStyle w:val="21"/>
        <w:numPr>
          <w:ilvl w:val="0"/>
          <w:numId w:val="17"/>
        </w:numPr>
        <w:ind w:firstLineChars="0"/>
        <w:rPr>
          <w:rFonts w:ascii="仿宋" w:hAnsi="仿宋" w:eastAsia="仿宋" w:cs="仿宋"/>
          <w:sz w:val="32"/>
          <w:szCs w:val="32"/>
        </w:rPr>
      </w:pPr>
      <w:r>
        <w:rPr>
          <w:rFonts w:ascii="仿宋" w:hAnsi="仿宋" w:eastAsia="仿宋" w:cs="仿宋"/>
          <w:sz w:val="32"/>
          <w:szCs w:val="32"/>
        </w:rPr>
        <w:t>提供自采购公告发布之日起至开标截止时间止的“信用中国”网站（www.creditchina.gov.cn）、中国政府采购网（www.ccgp.gov.cn）、“浙江政府采购网”（www.zjzfcg.gov.cn）投标人信用查询网页截图（至少提供2个网站的截图；以开标当日采购人核实的查询结果为准）；</w:t>
      </w:r>
    </w:p>
    <w:p w14:paraId="0D4FFBAE">
      <w:pPr>
        <w:pStyle w:val="21"/>
        <w:numPr>
          <w:ilvl w:val="0"/>
          <w:numId w:val="17"/>
        </w:numPr>
        <w:ind w:firstLineChars="0"/>
        <w:rPr>
          <w:rFonts w:ascii="仿宋" w:hAnsi="仿宋" w:eastAsia="仿宋" w:cs="仿宋"/>
          <w:sz w:val="32"/>
          <w:szCs w:val="32"/>
        </w:rPr>
      </w:pPr>
      <w:r>
        <w:rPr>
          <w:rFonts w:ascii="仿宋" w:hAnsi="仿宋" w:eastAsia="仿宋" w:cs="仿宋"/>
          <w:sz w:val="32"/>
          <w:szCs w:val="32"/>
        </w:rPr>
        <w:t>法定代表人身份证复印件（加盖公章）；如非法定代表人参与开标，需额外提供法定代表人授权委托书原件（加盖公章）、授权委托人身份证复印件（加盖公章）；</w:t>
      </w:r>
    </w:p>
    <w:p w14:paraId="2B1B9EA6">
      <w:pPr>
        <w:pStyle w:val="21"/>
        <w:numPr>
          <w:ilvl w:val="0"/>
          <w:numId w:val="17"/>
        </w:numPr>
        <w:ind w:firstLineChars="0"/>
        <w:rPr>
          <w:rFonts w:hint="default"/>
          <w:bCs/>
          <w:sz w:val="32"/>
          <w:szCs w:val="36"/>
        </w:rPr>
      </w:pPr>
      <w:r>
        <w:rPr>
          <w:rFonts w:ascii="仿宋" w:hAnsi="仿宋" w:eastAsia="仿宋" w:cs="仿宋"/>
          <w:sz w:val="32"/>
          <w:szCs w:val="32"/>
        </w:rPr>
        <w:t>最近三个月内任意一个月的依法缴纳</w:t>
      </w:r>
      <w:r>
        <w:rPr>
          <w:rFonts w:ascii="仿宋" w:hAnsi="仿宋" w:eastAsia="仿宋" w:cs="仿宋"/>
          <w:b/>
          <w:bCs/>
          <w:sz w:val="32"/>
          <w:szCs w:val="32"/>
        </w:rPr>
        <w:t>税收</w:t>
      </w:r>
      <w:r>
        <w:rPr>
          <w:rFonts w:ascii="仿宋" w:hAnsi="仿宋" w:eastAsia="仿宋" w:cs="仿宋"/>
          <w:sz w:val="32"/>
          <w:szCs w:val="32"/>
        </w:rPr>
        <w:t>和</w:t>
      </w:r>
      <w:r>
        <w:rPr>
          <w:rFonts w:ascii="仿宋" w:hAnsi="仿宋" w:eastAsia="仿宋" w:cs="仿宋"/>
          <w:b/>
          <w:bCs/>
          <w:sz w:val="32"/>
          <w:szCs w:val="32"/>
        </w:rPr>
        <w:t>社保证明</w:t>
      </w:r>
      <w:r>
        <w:rPr>
          <w:rFonts w:ascii="仿宋" w:hAnsi="仿宋" w:eastAsia="仿宋" w:cs="仿宋"/>
          <w:sz w:val="32"/>
          <w:szCs w:val="32"/>
        </w:rPr>
        <w:t>（税费凭证复印件，或者依法缴纳税费或依法免缴税费的证明）；</w:t>
      </w:r>
    </w:p>
    <w:p w14:paraId="7E760C6E">
      <w:pPr>
        <w:pStyle w:val="21"/>
        <w:numPr>
          <w:ilvl w:val="0"/>
          <w:numId w:val="17"/>
        </w:numPr>
        <w:ind w:firstLineChars="0"/>
        <w:rPr>
          <w:rFonts w:hint="default"/>
          <w:bCs/>
          <w:sz w:val="32"/>
          <w:szCs w:val="36"/>
        </w:rPr>
      </w:pPr>
      <w:r>
        <w:rPr>
          <w:rFonts w:ascii="仿宋" w:hAnsi="仿宋" w:eastAsia="仿宋" w:cs="仿宋"/>
          <w:sz w:val="32"/>
          <w:szCs w:val="32"/>
        </w:rPr>
        <w:t>投标声明书；</w:t>
      </w:r>
    </w:p>
    <w:p w14:paraId="1CEF28E9">
      <w:pPr>
        <w:rPr>
          <w:sz w:val="28"/>
          <w:szCs w:val="28"/>
        </w:rPr>
        <w:sectPr>
          <w:pgSz w:w="11906" w:h="16838"/>
          <w:pgMar w:top="1134" w:right="1531" w:bottom="992" w:left="1531" w:header="851" w:footer="992" w:gutter="0"/>
          <w:cols w:space="0" w:num="1"/>
          <w:docGrid w:type="lines" w:linePitch="312" w:charSpace="0"/>
        </w:sectPr>
      </w:pPr>
    </w:p>
    <w:p w14:paraId="636AD543">
      <w:pPr>
        <w:keepNext/>
        <w:keepLines/>
        <w:jc w:val="center"/>
        <w:outlineLvl w:val="2"/>
        <w:rPr>
          <w:rFonts w:hint="eastAsia" w:ascii="微软雅黑" w:hAnsi="微软雅黑" w:eastAsia="仿宋" w:cs="微软雅黑"/>
          <w:bCs/>
          <w:szCs w:val="22"/>
        </w:rPr>
      </w:pPr>
      <w:r>
        <w:rPr>
          <w:rFonts w:hint="eastAsia" w:ascii="Times New Roman" w:hAnsi="Times New Roman" w:eastAsia="仿宋" w:cs="Times New Roman"/>
          <w:b/>
          <w:sz w:val="30"/>
          <w:szCs w:val="22"/>
        </w:rPr>
        <w:t>法定代表人授权委托书</w:t>
      </w:r>
    </w:p>
    <w:p w14:paraId="1650A109">
      <w:pPr>
        <w:pStyle w:val="21"/>
        <w:ind w:firstLine="0" w:firstLineChars="0"/>
        <w:rPr>
          <w:rFonts w:hint="default"/>
        </w:rPr>
      </w:pPr>
      <w:r>
        <w:t>致湖州学院：</w:t>
      </w:r>
    </w:p>
    <w:p w14:paraId="5F57EC2F">
      <w:pPr>
        <w:pStyle w:val="21"/>
        <w:ind w:firstLine="480"/>
        <w:rPr>
          <w:rFonts w:hint="default"/>
        </w:rPr>
      </w:pPr>
      <w:r>
        <w:t>本人</w:t>
      </w:r>
      <w:r>
        <w:rPr>
          <w:u w:val="single"/>
        </w:rPr>
        <w:t xml:space="preserve">          </w:t>
      </w:r>
      <w:r>
        <w:t xml:space="preserve"> （姓名），身份证号</w:t>
      </w:r>
      <w:r>
        <w:rPr>
          <w:u w:val="single"/>
        </w:rPr>
        <w:t xml:space="preserve">                  </w:t>
      </w:r>
      <w:r>
        <w:t xml:space="preserve">，系 </w:t>
      </w:r>
      <w:r>
        <w:rPr>
          <w:u w:val="single"/>
        </w:rPr>
        <w:t xml:space="preserve">              </w:t>
      </w:r>
      <w:r>
        <w:t>（供应商名称）的法定代表人，现授权委托</w:t>
      </w:r>
      <w:r>
        <w:rPr>
          <w:u w:val="single"/>
        </w:rPr>
        <w:t xml:space="preserve">            </w:t>
      </w:r>
      <w:r>
        <w:t>（姓名），身份证号</w:t>
      </w:r>
      <w:r>
        <w:rPr>
          <w:u w:val="single"/>
        </w:rPr>
        <w:t xml:space="preserve">                   </w:t>
      </w:r>
      <w:r>
        <w:t xml:space="preserve"> ，为授权委托人。以我方的名义参加编号：</w:t>
      </w:r>
      <w:r>
        <w:rPr>
          <w:u w:val="single"/>
        </w:rPr>
        <w:t xml:space="preserve">           </w:t>
      </w:r>
      <w:r>
        <w:t>，名称：</w:t>
      </w:r>
      <w:r>
        <w:rPr>
          <w:u w:val="single"/>
        </w:rPr>
        <w:t xml:space="preserve">                  </w:t>
      </w:r>
      <w:r>
        <w:t>的投标活动，并代表我方全权办理针对上述项目的投标、开标、评标、签约等具体事务和签署相关文件。</w:t>
      </w:r>
    </w:p>
    <w:p w14:paraId="6C0EB484">
      <w:pPr>
        <w:pStyle w:val="21"/>
        <w:ind w:firstLine="480"/>
        <w:rPr>
          <w:rFonts w:hint="default"/>
        </w:rPr>
      </w:pPr>
      <w:r>
        <w:t>我方对授权委托人的签名事项负全部责任。</w:t>
      </w:r>
    </w:p>
    <w:p w14:paraId="3B274873">
      <w:pPr>
        <w:pStyle w:val="21"/>
        <w:ind w:firstLine="480"/>
        <w:rPr>
          <w:rFonts w:hint="default"/>
        </w:rPr>
      </w:pPr>
      <w:r>
        <w:t>本授权书自签订之日起180日内有效，授权委托人在授权书有效期内签署的所有文件不因授权的撤销而失效。</w:t>
      </w:r>
    </w:p>
    <w:p w14:paraId="37013DAD">
      <w:pPr>
        <w:pStyle w:val="21"/>
        <w:ind w:firstLine="480"/>
        <w:rPr>
          <w:rFonts w:hint="default"/>
        </w:rPr>
      </w:pPr>
      <w:r>
        <w:t>授权委托人无转委托权，特此委托。</w:t>
      </w:r>
    </w:p>
    <w:p w14:paraId="0003B362">
      <w:pPr>
        <w:pStyle w:val="21"/>
        <w:ind w:firstLine="480"/>
        <w:rPr>
          <w:rFonts w:hint="default"/>
        </w:rPr>
      </w:pPr>
    </w:p>
    <w:p w14:paraId="65F06449">
      <w:pPr>
        <w:pStyle w:val="21"/>
        <w:ind w:firstLine="480"/>
        <w:rPr>
          <w:rFonts w:hint="default"/>
        </w:rPr>
      </w:pPr>
      <w:r>
        <w:t>授权委托人签名：                 法定代表人签名：</w:t>
      </w:r>
    </w:p>
    <w:p w14:paraId="42A2553C">
      <w:pPr>
        <w:pStyle w:val="21"/>
        <w:ind w:firstLine="480"/>
        <w:rPr>
          <w:rFonts w:hint="default"/>
        </w:rPr>
      </w:pPr>
      <w:r>
        <w:t>供应商全称公章：</w:t>
      </w:r>
    </w:p>
    <w:p w14:paraId="4814D878">
      <w:pPr>
        <w:pStyle w:val="21"/>
        <w:ind w:firstLine="480"/>
        <w:rPr>
          <w:rFonts w:hint="default"/>
        </w:rPr>
      </w:pPr>
    </w:p>
    <w:p w14:paraId="5CDC80C0">
      <w:pPr>
        <w:pStyle w:val="21"/>
        <w:ind w:firstLine="480"/>
        <w:rPr>
          <w:rFonts w:hint="default"/>
          <w:lang w:eastAsia="zh-Hans"/>
        </w:rPr>
      </w:pPr>
      <w:r>
        <w:rPr>
          <w:lang w:eastAsia="zh-Hans"/>
        </w:rPr>
        <w:t xml:space="preserve">日期：  </w:t>
      </w:r>
      <w:r>
        <w:t xml:space="preserve">  </w:t>
      </w:r>
      <w:r>
        <w:rPr>
          <w:lang w:eastAsia="zh-Hans"/>
        </w:rPr>
        <w:t xml:space="preserve">  年 </w:t>
      </w:r>
      <w:r>
        <w:t xml:space="preserve">  </w:t>
      </w:r>
      <w:r>
        <w:rPr>
          <w:lang w:eastAsia="zh-Hans"/>
        </w:rPr>
        <w:t xml:space="preserve"> 月</w:t>
      </w:r>
      <w:r>
        <w:t xml:space="preserve">  </w:t>
      </w:r>
      <w:r>
        <w:rPr>
          <w:lang w:eastAsia="zh-Hans"/>
        </w:rPr>
        <w:t xml:space="preserve">  日</w:t>
      </w:r>
    </w:p>
    <w:tbl>
      <w:tblPr>
        <w:tblStyle w:val="14"/>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14:paraId="0BB47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vAlign w:val="center"/>
          </w:tcPr>
          <w:p w14:paraId="01997268">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78A4E389">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7222AD6">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（正面）</w:t>
            </w:r>
          </w:p>
        </w:tc>
        <w:tc>
          <w:tcPr>
            <w:tcW w:w="375" w:type="dxa"/>
            <w:tcBorders>
              <w:top w:val="nil"/>
              <w:left w:val="nil"/>
              <w:bottom w:val="nil"/>
              <w:right w:val="single" w:color="auto" w:sz="4" w:space="0"/>
            </w:tcBorders>
          </w:tcPr>
          <w:p w14:paraId="54BD894B">
            <w:pPr>
              <w:spacing w:line="360" w:lineRule="auto"/>
              <w:jc w:val="center"/>
              <w:rPr>
                <w:rFonts w:hint="eastAsia"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21855829">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59A5D34F">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C92568E">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（反面）</w:t>
            </w:r>
          </w:p>
        </w:tc>
      </w:tr>
    </w:tbl>
    <w:p w14:paraId="77F0FBDB">
      <w:pPr>
        <w:spacing w:line="360" w:lineRule="auto"/>
        <w:jc w:val="center"/>
        <w:rPr>
          <w:rFonts w:hint="eastAsia" w:ascii="宋体" w:hAnsi="宋体" w:eastAsia="宋体" w:cs="宋体"/>
          <w:spacing w:val="24"/>
          <w:sz w:val="24"/>
          <w:lang w:bidi="ar"/>
        </w:rPr>
      </w:pPr>
    </w:p>
    <w:tbl>
      <w:tblPr>
        <w:tblStyle w:val="14"/>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14:paraId="2A36B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vAlign w:val="center"/>
          </w:tcPr>
          <w:p w14:paraId="2161CDF1">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授权委托人居民身份证</w:t>
            </w:r>
          </w:p>
          <w:p w14:paraId="3AED99CB">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544B4434">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（正面）</w:t>
            </w:r>
          </w:p>
        </w:tc>
        <w:tc>
          <w:tcPr>
            <w:tcW w:w="356" w:type="dxa"/>
            <w:tcBorders>
              <w:top w:val="nil"/>
              <w:left w:val="nil"/>
              <w:bottom w:val="nil"/>
              <w:right w:val="single" w:color="auto" w:sz="4" w:space="0"/>
            </w:tcBorders>
          </w:tcPr>
          <w:p w14:paraId="47CC9862">
            <w:pPr>
              <w:spacing w:line="360" w:lineRule="auto"/>
              <w:jc w:val="center"/>
              <w:rPr>
                <w:rFonts w:hint="eastAsia"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4C20E373">
            <w:pPr>
              <w:spacing w:line="360" w:lineRule="auto"/>
              <w:jc w:val="center"/>
              <w:rPr>
                <w:rFonts w:hint="eastAsia" w:ascii="宋体" w:hAnsi="宋体" w:eastAsia="宋体" w:cs="宋体"/>
                <w:spacing w:val="24"/>
                <w:sz w:val="24"/>
                <w:lang w:bidi="ar"/>
              </w:rPr>
            </w:pPr>
            <w:r>
              <w:rPr>
                <w:rFonts w:hint="eastAsia" w:ascii="宋体" w:hAnsi="宋体" w:eastAsia="宋体" w:cs="宋体"/>
                <w:b/>
                <w:bCs/>
                <w:spacing w:val="24"/>
                <w:sz w:val="24"/>
                <w:lang w:bidi="ar"/>
              </w:rPr>
              <w:t>授权委托人居民身份证</w:t>
            </w:r>
          </w:p>
          <w:p w14:paraId="09E9EC42">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10B19D2">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（反面）</w:t>
            </w:r>
          </w:p>
        </w:tc>
      </w:tr>
    </w:tbl>
    <w:p w14:paraId="5FF5E25F">
      <w:pPr>
        <w:pStyle w:val="21"/>
        <w:ind w:firstLine="480"/>
        <w:rPr>
          <w:rFonts w:hint="default"/>
        </w:rPr>
      </w:pPr>
      <w:r>
        <w:br w:type="page"/>
      </w:r>
    </w:p>
    <w:p w14:paraId="5BA664BA">
      <w:pPr>
        <w:keepNext/>
        <w:keepLines/>
        <w:jc w:val="center"/>
        <w:outlineLvl w:val="2"/>
        <w:rPr>
          <w:rFonts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t>投标声明书</w:t>
      </w:r>
    </w:p>
    <w:p w14:paraId="37E4E43D">
      <w:pPr>
        <w:rPr>
          <w:rFonts w:ascii="Times New Roman" w:hAnsi="Times New Roman" w:eastAsia="宋体" w:cs="Times New Roman"/>
          <w:szCs w:val="22"/>
        </w:rPr>
      </w:pPr>
    </w:p>
    <w:p w14:paraId="4B4154F5">
      <w:pPr>
        <w:pStyle w:val="21"/>
        <w:ind w:firstLine="0" w:firstLineChars="0"/>
        <w:rPr>
          <w:rFonts w:hint="default"/>
        </w:rPr>
      </w:pPr>
      <w:r>
        <w:t>致湖州学院：</w:t>
      </w:r>
    </w:p>
    <w:p w14:paraId="2E998405">
      <w:pPr>
        <w:pStyle w:val="21"/>
        <w:ind w:firstLine="480"/>
        <w:rPr>
          <w:rFonts w:hint="default"/>
        </w:rPr>
      </w:pPr>
      <w:r>
        <w:t>我方自愿参加贵方组织的招标活动（编号：</w:t>
      </w:r>
      <w:r>
        <w:rPr>
          <w:u w:val="single"/>
        </w:rPr>
        <w:t xml:space="preserve">        </w:t>
      </w:r>
      <w:r>
        <w:t xml:space="preserve">，名称： </w:t>
      </w:r>
      <w:r>
        <w:rPr>
          <w:u w:val="single"/>
        </w:rPr>
        <w:t xml:space="preserve">                 </w:t>
      </w:r>
      <w:r>
        <w:t>），为便于贵方公正、择优地确定中标人及其投标项目的招标，我方就本次投标有关事项郑重声明如下：</w:t>
      </w:r>
    </w:p>
    <w:p w14:paraId="212CD0A3">
      <w:pPr>
        <w:pStyle w:val="21"/>
        <w:ind w:firstLine="480"/>
        <w:rPr>
          <w:rFonts w:hint="default"/>
        </w:rPr>
      </w:pPr>
      <w:r>
        <w:t>（一）我方具备《中华人民共和国政府采购法》第二十二条第一款规定的条件：</w:t>
      </w:r>
    </w:p>
    <w:p w14:paraId="3C5403B0">
      <w:pPr>
        <w:pStyle w:val="21"/>
        <w:ind w:firstLine="480"/>
        <w:rPr>
          <w:rFonts w:hint="default"/>
        </w:rPr>
      </w:pPr>
      <w:r>
        <w:t>1.具有独立承担民事责任的能力；</w:t>
      </w:r>
    </w:p>
    <w:p w14:paraId="6D5D2117">
      <w:pPr>
        <w:pStyle w:val="21"/>
        <w:ind w:firstLine="480"/>
        <w:rPr>
          <w:rFonts w:hint="default"/>
        </w:rPr>
      </w:pPr>
      <w:r>
        <w:t xml:space="preserve">2.具有良好的商业信誉和健全的财务会计制度； </w:t>
      </w:r>
    </w:p>
    <w:p w14:paraId="71E4A95D">
      <w:pPr>
        <w:pStyle w:val="21"/>
        <w:ind w:firstLine="480"/>
        <w:rPr>
          <w:rFonts w:hint="default"/>
        </w:rPr>
      </w:pPr>
      <w:r>
        <w:t>3.具有履行合同所必需的设备和专业技术能力；</w:t>
      </w:r>
    </w:p>
    <w:p w14:paraId="738FAA13">
      <w:pPr>
        <w:pStyle w:val="21"/>
        <w:ind w:firstLine="480"/>
        <w:rPr>
          <w:rFonts w:hint="default"/>
        </w:rPr>
      </w:pPr>
      <w:r>
        <w:t>4.有依法缴纳税收和社会保障资金的良好记录；</w:t>
      </w:r>
    </w:p>
    <w:p w14:paraId="6CE9349F">
      <w:pPr>
        <w:pStyle w:val="21"/>
        <w:ind w:firstLine="480"/>
        <w:rPr>
          <w:rFonts w:hint="default"/>
        </w:rPr>
      </w:pPr>
      <w:r>
        <w:t>5.参加政府采购活动前三年内，在经营活动中没有重大违法记录；</w:t>
      </w:r>
    </w:p>
    <w:p w14:paraId="373BDCCA">
      <w:pPr>
        <w:pStyle w:val="21"/>
        <w:ind w:firstLine="480"/>
        <w:rPr>
          <w:rFonts w:hint="default"/>
        </w:rPr>
      </w:pPr>
      <w:r>
        <w:t>6.具有法律、行政法规规定的其他条件。</w:t>
      </w:r>
    </w:p>
    <w:p w14:paraId="1EBFA018">
      <w:pPr>
        <w:pStyle w:val="21"/>
        <w:ind w:firstLine="480"/>
        <w:rPr>
          <w:rFonts w:hint="default"/>
        </w:rPr>
      </w:pPr>
      <w:r>
        <w:t>（二）我方未被信用中国（www.creditchina.gov.cn）、中国政府采购网（www.ccgp.gov.cn）列入失信被执行人、重大税收违法案件当事人名单、政府采购严重违法失信行为记录名单。</w:t>
      </w:r>
    </w:p>
    <w:p w14:paraId="6D2AFE3A">
      <w:pPr>
        <w:pStyle w:val="21"/>
        <w:ind w:firstLine="480"/>
        <w:rPr>
          <w:rFonts w:hint="default"/>
        </w:rPr>
      </w:pPr>
      <w:r>
        <w:t>（三）我方不存在以下情况：</w:t>
      </w:r>
    </w:p>
    <w:p w14:paraId="5BF948DA">
      <w:pPr>
        <w:pStyle w:val="21"/>
        <w:ind w:firstLine="480"/>
        <w:rPr>
          <w:rFonts w:hint="default"/>
        </w:rPr>
      </w:pPr>
      <w:r>
        <w:t>1.单位负责人为同一人或者存在直接控股、管理关系的不同供应商参加同一合同项下的政府采购活动的；</w:t>
      </w:r>
    </w:p>
    <w:p w14:paraId="0A562CD4">
      <w:pPr>
        <w:pStyle w:val="21"/>
        <w:ind w:firstLine="480"/>
        <w:rPr>
          <w:rFonts w:hint="default"/>
        </w:rPr>
      </w:pPr>
      <w:r>
        <w:t>2.为采购项目提供整体设计、规范编制或者项目管理、监理、检测等服务后再参加该采购项目的其他采购活动。</w:t>
      </w:r>
    </w:p>
    <w:p w14:paraId="3A4CFBFC">
      <w:pPr>
        <w:pStyle w:val="21"/>
        <w:ind w:firstLine="480"/>
        <w:rPr>
          <w:rFonts w:hint="default"/>
        </w:rPr>
      </w:pPr>
      <w:r>
        <w:t>以上事项如有虚假或隐瞒，我方愿意承担一切后果和责任。</w:t>
      </w:r>
    </w:p>
    <w:p w14:paraId="50728D5F">
      <w:pPr>
        <w:pStyle w:val="21"/>
        <w:ind w:firstLine="480"/>
        <w:rPr>
          <w:rFonts w:hint="default"/>
        </w:rPr>
      </w:pPr>
    </w:p>
    <w:p w14:paraId="638D1138">
      <w:pPr>
        <w:pStyle w:val="21"/>
        <w:ind w:firstLine="480"/>
        <w:rPr>
          <w:rFonts w:hint="default"/>
        </w:rPr>
      </w:pPr>
      <w:r>
        <w:t>法定代表人或授权委托人签字：</w:t>
      </w:r>
    </w:p>
    <w:p w14:paraId="25762D9B">
      <w:pPr>
        <w:pStyle w:val="21"/>
        <w:ind w:firstLine="480"/>
        <w:rPr>
          <w:rFonts w:hint="default"/>
        </w:rPr>
      </w:pPr>
    </w:p>
    <w:p w14:paraId="49E905B2">
      <w:pPr>
        <w:pStyle w:val="21"/>
        <w:ind w:firstLine="480"/>
        <w:rPr>
          <w:rFonts w:hint="default"/>
        </w:rPr>
      </w:pPr>
      <w:r>
        <w:t>供应商全称公章：</w:t>
      </w:r>
    </w:p>
    <w:p w14:paraId="0BDD9C74">
      <w:pPr>
        <w:pStyle w:val="21"/>
        <w:ind w:firstLine="480"/>
        <w:rPr>
          <w:rFonts w:hint="default"/>
        </w:rPr>
      </w:pPr>
    </w:p>
    <w:p w14:paraId="020725FC">
      <w:pPr>
        <w:pStyle w:val="21"/>
        <w:ind w:firstLine="480"/>
        <w:rPr>
          <w:rFonts w:hint="default"/>
          <w:szCs w:val="22"/>
        </w:rPr>
      </w:pPr>
      <w:r>
        <w:t>日期：     年   月   日</w:t>
      </w:r>
      <w:r>
        <w:rPr>
          <w:szCs w:val="22"/>
        </w:rPr>
        <w:br w:type="page"/>
      </w:r>
    </w:p>
    <w:p w14:paraId="4B3F760C">
      <w:pPr>
        <w:jc w:val="left"/>
        <w:rPr>
          <w:rFonts w:hint="eastAsia" w:ascii="宋体" w:hAnsi="宋体" w:eastAsia="宋体" w:cs="宋体"/>
          <w:sz w:val="24"/>
        </w:rPr>
      </w:pPr>
      <w:bookmarkStart w:id="28" w:name="附录4"/>
      <w:r>
        <w:rPr>
          <w:rFonts w:hint="eastAsia" w:ascii="Times New Roman" w:hAnsi="Times New Roman" w:eastAsia="宋体" w:cs="Times New Roman"/>
          <w:sz w:val="28"/>
          <w:szCs w:val="28"/>
        </w:rPr>
        <w:t>附件4</w:t>
      </w:r>
      <w:bookmarkEnd w:id="28"/>
    </w:p>
    <w:p w14:paraId="4D67E991">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0E0D3F7C">
      <w:pPr>
        <w:jc w:val="left"/>
        <w:rPr>
          <w:rFonts w:ascii="Times New Roman" w:hAnsi="Times New Roman" w:eastAsia="宋体" w:cs="Times New Roman"/>
          <w:sz w:val="96"/>
          <w:szCs w:val="72"/>
        </w:rPr>
      </w:pPr>
    </w:p>
    <w:p w14:paraId="5CE5AD26">
      <w:pPr>
        <w:jc w:val="left"/>
        <w:rPr>
          <w:rFonts w:ascii="Times New Roman" w:hAnsi="Times New Roman" w:eastAsia="宋体" w:cs="Times New Roman"/>
          <w:sz w:val="96"/>
          <w:szCs w:val="72"/>
        </w:rPr>
      </w:pPr>
    </w:p>
    <w:p w14:paraId="7C2C4A92">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技术商务文件</w:t>
      </w:r>
    </w:p>
    <w:p w14:paraId="082E4D4F">
      <w:pPr>
        <w:jc w:val="left"/>
        <w:rPr>
          <w:rFonts w:ascii="Times New Roman" w:hAnsi="Times New Roman" w:eastAsia="宋体" w:cs="Times New Roman"/>
          <w:sz w:val="96"/>
          <w:szCs w:val="72"/>
        </w:rPr>
      </w:pPr>
    </w:p>
    <w:p w14:paraId="772B8777">
      <w:pPr>
        <w:rPr>
          <w:rFonts w:ascii="Times New Roman" w:hAnsi="Times New Roman" w:eastAsia="宋体" w:cs="Times New Roman"/>
          <w:sz w:val="96"/>
          <w:szCs w:val="72"/>
        </w:rPr>
      </w:pPr>
    </w:p>
    <w:p w14:paraId="652C007E">
      <w:pPr>
        <w:pStyle w:val="13"/>
        <w:ind w:firstLine="280"/>
      </w:pPr>
    </w:p>
    <w:p w14:paraId="631A64AD">
      <w:pPr>
        <w:pStyle w:val="13"/>
        <w:ind w:firstLine="280"/>
      </w:pPr>
      <w:r>
        <w:rPr>
          <w:rFonts w:hint="eastAsia"/>
        </w:rPr>
        <w:t>项目名称：</w:t>
      </w:r>
    </w:p>
    <w:p w14:paraId="1164D914">
      <w:pPr>
        <w:pStyle w:val="13"/>
        <w:ind w:firstLine="280"/>
      </w:pPr>
      <w:r>
        <w:rPr>
          <w:rFonts w:hint="eastAsia"/>
        </w:rPr>
        <w:t>项目编号：</w:t>
      </w:r>
    </w:p>
    <w:p w14:paraId="004A6AA0">
      <w:pPr>
        <w:pStyle w:val="13"/>
        <w:ind w:firstLine="280"/>
      </w:pPr>
      <w:r>
        <w:rPr>
          <w:rFonts w:hint="eastAsia"/>
        </w:rPr>
        <w:t>投标人名称：</w:t>
      </w:r>
    </w:p>
    <w:p w14:paraId="6C6A0C0B">
      <w:pPr>
        <w:pStyle w:val="13"/>
        <w:ind w:firstLine="280"/>
      </w:pPr>
      <w:r>
        <w:rPr>
          <w:rFonts w:hint="eastAsia"/>
        </w:rPr>
        <w:t>投标人地址：</w:t>
      </w:r>
    </w:p>
    <w:p w14:paraId="2D774CFA">
      <w:pPr>
        <w:pStyle w:val="13"/>
        <w:ind w:firstLine="280"/>
      </w:pPr>
      <w:r>
        <w:rPr>
          <w:rFonts w:hint="eastAsia"/>
        </w:rPr>
        <w:t>在    年    月    日    时    分之前不得启封</w:t>
      </w:r>
    </w:p>
    <w:p w14:paraId="3CB03A26">
      <w:pPr>
        <w:jc w:val="center"/>
        <w:rPr>
          <w:rFonts w:ascii="Times New Roman" w:hAnsi="Times New Roman" w:eastAsia="宋体" w:cs="Times New Roman"/>
          <w:sz w:val="28"/>
        </w:rPr>
      </w:pPr>
    </w:p>
    <w:p w14:paraId="1F01F5B5">
      <w:pPr>
        <w:jc w:val="center"/>
        <w:rPr>
          <w:rFonts w:ascii="Times New Roman" w:hAnsi="Times New Roman" w:eastAsia="宋体" w:cs="Times New Roman"/>
          <w:sz w:val="28"/>
        </w:rPr>
      </w:pPr>
    </w:p>
    <w:p w14:paraId="20D28B78">
      <w:pPr>
        <w:ind w:firstLine="480"/>
        <w:jc w:val="right"/>
        <w:rPr>
          <w:rFonts w:ascii="Times New Roman" w:hAnsi="Times New Roman" w:eastAsia="仿宋" w:cs="Times New Roman"/>
          <w:b/>
          <w:sz w:val="30"/>
          <w:szCs w:val="22"/>
        </w:rPr>
      </w:pPr>
      <w:r>
        <w:rPr>
          <w:rFonts w:hint="eastAsia" w:ascii="Times New Roman" w:hAnsi="Times New Roman" w:eastAsia="宋体" w:cs="Times New Roman"/>
          <w:sz w:val="28"/>
        </w:rPr>
        <w:t>年  月  日</w:t>
      </w:r>
    </w:p>
    <w:p w14:paraId="3F36111A">
      <w:pPr>
        <w:rPr>
          <w:rFonts w:ascii="Times New Roman" w:hAnsi="Times New Roman" w:eastAsia="仿宋" w:cs="Times New Roman"/>
          <w:b/>
          <w:sz w:val="30"/>
          <w:szCs w:val="22"/>
        </w:rPr>
      </w:pPr>
      <w:r>
        <w:rPr>
          <w:rFonts w:hint="eastAsia" w:ascii="Times New Roman" w:hAnsi="Times New Roman" w:eastAsia="仿宋" w:cs="Times New Roman"/>
          <w:b/>
          <w:sz w:val="30"/>
          <w:szCs w:val="22"/>
        </w:rPr>
        <w:br w:type="page"/>
      </w:r>
    </w:p>
    <w:p w14:paraId="7D84FADC">
      <w:pPr>
        <w:numPr>
          <w:ilvl w:val="0"/>
          <w:numId w:val="18"/>
        </w:numPr>
        <w:jc w:val="left"/>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评分索引表</w:t>
      </w:r>
    </w:p>
    <w:p w14:paraId="138D99BA">
      <w:pPr>
        <w:spacing w:line="360" w:lineRule="auto"/>
        <w:rPr>
          <w:sz w:val="24"/>
        </w:rPr>
      </w:pPr>
    </w:p>
    <w:p w14:paraId="3BAE0134">
      <w:pPr>
        <w:spacing w:line="360" w:lineRule="auto"/>
        <w:rPr>
          <w:sz w:val="24"/>
        </w:rPr>
      </w:pPr>
      <w:r>
        <w:rPr>
          <w:rFonts w:hint="eastAsia"/>
          <w:sz w:val="24"/>
        </w:rPr>
        <w:t>项目名称：</w:t>
      </w:r>
    </w:p>
    <w:p w14:paraId="0941F07C">
      <w:pPr>
        <w:spacing w:line="360" w:lineRule="auto"/>
        <w:rPr>
          <w:sz w:val="24"/>
        </w:rPr>
      </w:pPr>
      <w:r>
        <w:rPr>
          <w:rFonts w:hint="eastAsia"/>
          <w:sz w:val="24"/>
        </w:rPr>
        <w:t>项目编号：</w:t>
      </w:r>
    </w:p>
    <w:tbl>
      <w:tblPr>
        <w:tblStyle w:val="14"/>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17"/>
        <w:gridCol w:w="3571"/>
        <w:gridCol w:w="2055"/>
        <w:gridCol w:w="1035"/>
        <w:gridCol w:w="1577"/>
      </w:tblGrid>
      <w:tr w14:paraId="694853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51" w:type="pct"/>
            <w:tcBorders>
              <w:top w:val="single" w:color="auto" w:sz="4" w:space="0"/>
              <w:bottom w:val="single" w:color="auto" w:sz="4" w:space="0"/>
              <w:right w:val="single" w:color="auto" w:sz="4" w:space="0"/>
            </w:tcBorders>
            <w:vAlign w:val="center"/>
          </w:tcPr>
          <w:p w14:paraId="28B3A561">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序号</w:t>
            </w:r>
          </w:p>
        </w:tc>
        <w:tc>
          <w:tcPr>
            <w:tcW w:w="1971" w:type="pct"/>
            <w:tcBorders>
              <w:top w:val="single" w:color="auto" w:sz="4" w:space="0"/>
              <w:bottom w:val="single" w:color="auto" w:sz="4" w:space="0"/>
              <w:right w:val="single" w:color="auto" w:sz="4" w:space="0"/>
            </w:tcBorders>
            <w:vAlign w:val="center"/>
          </w:tcPr>
          <w:p w14:paraId="05B4F104">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评分项目</w:t>
            </w:r>
          </w:p>
        </w:tc>
        <w:tc>
          <w:tcPr>
            <w:tcW w:w="1134" w:type="pct"/>
            <w:tcBorders>
              <w:top w:val="single" w:color="auto" w:sz="4" w:space="0"/>
              <w:left w:val="single" w:color="auto" w:sz="4" w:space="0"/>
              <w:bottom w:val="single" w:color="auto" w:sz="4" w:space="0"/>
              <w:right w:val="single" w:color="auto" w:sz="4" w:space="0"/>
            </w:tcBorders>
            <w:vAlign w:val="center"/>
          </w:tcPr>
          <w:p w14:paraId="59F583BF">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响应文件对应资料</w:t>
            </w:r>
          </w:p>
        </w:tc>
        <w:tc>
          <w:tcPr>
            <w:tcW w:w="571" w:type="pct"/>
            <w:tcBorders>
              <w:top w:val="single" w:color="auto" w:sz="4" w:space="0"/>
              <w:left w:val="single" w:color="auto" w:sz="4" w:space="0"/>
              <w:bottom w:val="single" w:color="auto" w:sz="4" w:space="0"/>
              <w:right w:val="single" w:color="auto" w:sz="4" w:space="0"/>
            </w:tcBorders>
            <w:vAlign w:val="center"/>
          </w:tcPr>
          <w:p w14:paraId="115BBCF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自评分</w:t>
            </w:r>
          </w:p>
        </w:tc>
        <w:tc>
          <w:tcPr>
            <w:tcW w:w="870" w:type="pct"/>
            <w:tcBorders>
              <w:top w:val="single" w:color="auto" w:sz="4" w:space="0"/>
              <w:left w:val="single" w:color="auto" w:sz="4" w:space="0"/>
              <w:bottom w:val="single" w:color="auto" w:sz="4" w:space="0"/>
            </w:tcBorders>
            <w:vAlign w:val="center"/>
          </w:tcPr>
          <w:p w14:paraId="1AA615F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响应文件页码</w:t>
            </w:r>
          </w:p>
        </w:tc>
      </w:tr>
      <w:tr w14:paraId="67EAC2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451" w:type="pct"/>
            <w:tcBorders>
              <w:top w:val="single" w:color="auto" w:sz="4" w:space="0"/>
              <w:bottom w:val="single" w:color="auto" w:sz="4" w:space="0"/>
              <w:right w:val="single" w:color="auto" w:sz="4" w:space="0"/>
            </w:tcBorders>
            <w:vAlign w:val="center"/>
          </w:tcPr>
          <w:p w14:paraId="1F850EFC">
            <w:pPr>
              <w:tabs>
                <w:tab w:val="left" w:pos="2996"/>
              </w:tabs>
              <w:spacing w:line="540" w:lineRule="exact"/>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2CB5B8FC">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对应技术商务评分表</w:t>
            </w:r>
          </w:p>
          <w:p w14:paraId="6451268E">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（报价除外）</w:t>
            </w:r>
          </w:p>
        </w:tc>
        <w:tc>
          <w:tcPr>
            <w:tcW w:w="1134" w:type="pct"/>
            <w:tcBorders>
              <w:top w:val="single" w:color="auto" w:sz="4" w:space="0"/>
              <w:left w:val="single" w:color="auto" w:sz="4" w:space="0"/>
              <w:bottom w:val="single" w:color="auto" w:sz="4" w:space="0"/>
              <w:right w:val="single" w:color="auto" w:sz="4" w:space="0"/>
            </w:tcBorders>
            <w:vAlign w:val="center"/>
          </w:tcPr>
          <w:p w14:paraId="2D6EE675">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4B7C8037">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2CD57B30">
            <w:pPr>
              <w:tabs>
                <w:tab w:val="left" w:pos="2996"/>
              </w:tabs>
              <w:spacing w:line="540" w:lineRule="exact"/>
              <w:ind w:firstLine="480"/>
              <w:jc w:val="center"/>
              <w:rPr>
                <w:rFonts w:ascii="Times New Roman" w:hAnsi="Times New Roman" w:eastAsia="宋体" w:cs="Times New Roman"/>
                <w:szCs w:val="21"/>
              </w:rPr>
            </w:pPr>
          </w:p>
        </w:tc>
      </w:tr>
      <w:tr w14:paraId="634CF9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BAD931F">
            <w:pPr>
              <w:tabs>
                <w:tab w:val="left" w:pos="2996"/>
              </w:tabs>
              <w:spacing w:line="540" w:lineRule="exact"/>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2E29A1D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pct"/>
            <w:tcBorders>
              <w:top w:val="single" w:color="auto" w:sz="4" w:space="0"/>
              <w:left w:val="single" w:color="auto" w:sz="4" w:space="0"/>
              <w:bottom w:val="single" w:color="auto" w:sz="4" w:space="0"/>
              <w:right w:val="single" w:color="auto" w:sz="4" w:space="0"/>
            </w:tcBorders>
            <w:vAlign w:val="center"/>
          </w:tcPr>
          <w:p w14:paraId="5A157755">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6CBCDC90">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3FAF0775">
            <w:pPr>
              <w:tabs>
                <w:tab w:val="left" w:pos="2996"/>
              </w:tabs>
              <w:spacing w:line="540" w:lineRule="exact"/>
              <w:ind w:firstLine="480"/>
              <w:jc w:val="center"/>
              <w:rPr>
                <w:rFonts w:ascii="Times New Roman" w:hAnsi="Times New Roman" w:eastAsia="宋体" w:cs="Times New Roman"/>
                <w:szCs w:val="21"/>
              </w:rPr>
            </w:pPr>
          </w:p>
        </w:tc>
      </w:tr>
      <w:tr w14:paraId="63C4EA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01A0D7B">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01D0179C">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2B92122C">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50B830DF">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06C3F4EA">
            <w:pPr>
              <w:tabs>
                <w:tab w:val="left" w:pos="2996"/>
              </w:tabs>
              <w:spacing w:line="540" w:lineRule="exact"/>
              <w:ind w:firstLine="480"/>
              <w:jc w:val="center"/>
              <w:rPr>
                <w:rFonts w:ascii="Times New Roman" w:hAnsi="Times New Roman" w:eastAsia="宋体" w:cs="Times New Roman"/>
                <w:szCs w:val="21"/>
              </w:rPr>
            </w:pPr>
          </w:p>
        </w:tc>
      </w:tr>
      <w:tr w14:paraId="5F81E3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F3F7D2B">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74DCFB93">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2CFD5C9D">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1989C041">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2E5DADBE">
            <w:pPr>
              <w:tabs>
                <w:tab w:val="left" w:pos="2996"/>
              </w:tabs>
              <w:spacing w:line="540" w:lineRule="exact"/>
              <w:ind w:firstLine="480"/>
              <w:jc w:val="center"/>
              <w:rPr>
                <w:rFonts w:ascii="Times New Roman" w:hAnsi="Times New Roman" w:eastAsia="宋体" w:cs="Times New Roman"/>
                <w:szCs w:val="21"/>
              </w:rPr>
            </w:pPr>
          </w:p>
        </w:tc>
      </w:tr>
      <w:tr w14:paraId="1E950F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45A25898">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150BDD2E">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6C570633">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1BD8B72C">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63357597">
            <w:pPr>
              <w:tabs>
                <w:tab w:val="left" w:pos="2996"/>
              </w:tabs>
              <w:spacing w:line="540" w:lineRule="exact"/>
              <w:ind w:firstLine="480"/>
              <w:jc w:val="center"/>
              <w:rPr>
                <w:rFonts w:ascii="Times New Roman" w:hAnsi="Times New Roman" w:eastAsia="宋体" w:cs="Times New Roman"/>
                <w:szCs w:val="21"/>
              </w:rPr>
            </w:pPr>
          </w:p>
        </w:tc>
      </w:tr>
      <w:tr w14:paraId="785D28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451" w:type="pct"/>
            <w:tcBorders>
              <w:top w:val="single" w:color="auto" w:sz="4" w:space="0"/>
              <w:bottom w:val="single" w:color="auto" w:sz="4" w:space="0"/>
              <w:right w:val="single" w:color="auto" w:sz="4" w:space="0"/>
            </w:tcBorders>
            <w:vAlign w:val="center"/>
          </w:tcPr>
          <w:p w14:paraId="5218331F">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38994969">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0C28AA8C">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0228DC2A">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38CC34E8">
            <w:pPr>
              <w:tabs>
                <w:tab w:val="left" w:pos="2996"/>
              </w:tabs>
              <w:spacing w:line="540" w:lineRule="exact"/>
              <w:ind w:firstLine="480"/>
              <w:jc w:val="center"/>
              <w:rPr>
                <w:rFonts w:ascii="Times New Roman" w:hAnsi="Times New Roman" w:eastAsia="宋体" w:cs="Times New Roman"/>
                <w:szCs w:val="21"/>
              </w:rPr>
            </w:pPr>
          </w:p>
        </w:tc>
      </w:tr>
    </w:tbl>
    <w:p w14:paraId="41A3BC42">
      <w:pPr>
        <w:rPr>
          <w:rFonts w:ascii="Times New Roman" w:hAnsi="Times New Roman" w:eastAsia="宋体" w:cs="Times New Roman"/>
          <w:color w:val="000000"/>
        </w:rPr>
      </w:pPr>
    </w:p>
    <w:p w14:paraId="10D7F1E1">
      <w:pPr>
        <w:rPr>
          <w:rFonts w:ascii="Times New Roman" w:hAnsi="Times New Roman" w:eastAsia="宋体" w:cs="Times New Roman"/>
          <w:color w:val="000000"/>
          <w:sz w:val="24"/>
        </w:rPr>
      </w:pPr>
    </w:p>
    <w:p w14:paraId="7777BA66">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法定代表人或授权委托人签字：</w:t>
      </w:r>
    </w:p>
    <w:p w14:paraId="4D6D2BDD">
      <w:pPr>
        <w:rPr>
          <w:rFonts w:ascii="Times New Roman" w:hAnsi="Times New Roman" w:eastAsia="宋体" w:cs="Times New Roman"/>
          <w:color w:val="000000"/>
          <w:sz w:val="24"/>
        </w:rPr>
      </w:pPr>
    </w:p>
    <w:p w14:paraId="08D59B41">
      <w:pPr>
        <w:rPr>
          <w:rFonts w:ascii="Times New Roman" w:hAnsi="Times New Roman" w:eastAsia="宋体" w:cs="Times New Roman"/>
          <w:color w:val="000000"/>
          <w:sz w:val="24"/>
        </w:rPr>
      </w:pPr>
    </w:p>
    <w:p w14:paraId="0139BF5F">
      <w:pPr>
        <w:rPr>
          <w:rFonts w:ascii="Times New Roman" w:hAnsi="Times New Roman" w:eastAsia="宋体" w:cs="Times New Roman"/>
          <w:color w:val="000000"/>
          <w:sz w:val="24"/>
        </w:rPr>
      </w:pPr>
    </w:p>
    <w:p w14:paraId="2FC04CC1">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供应商全称公章：</w:t>
      </w:r>
    </w:p>
    <w:p w14:paraId="57EE7E8B">
      <w:pPr>
        <w:spacing w:line="360" w:lineRule="auto"/>
        <w:rPr>
          <w:rFonts w:ascii="Times New Roman" w:hAnsi="Times New Roman" w:eastAsia="宋体" w:cs="Times New Roman"/>
          <w:sz w:val="24"/>
        </w:rPr>
      </w:pPr>
    </w:p>
    <w:p w14:paraId="38EDB3BB">
      <w:pPr>
        <w:jc w:val="right"/>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 xml:space="preserve">日期：    年  月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日</w:t>
      </w:r>
    </w:p>
    <w:p w14:paraId="6DD9DC73">
      <w:pPr>
        <w:numPr>
          <w:ilvl w:val="0"/>
          <w:numId w:val="18"/>
        </w:numPr>
        <w:jc w:val="left"/>
        <w:outlineLvl w:val="2"/>
        <w:rPr>
          <w:rFonts w:ascii="Times New Roman" w:hAnsi="Times New Roman" w:eastAsia="仿宋" w:cs="Times New Roman"/>
          <w:b/>
          <w:sz w:val="30"/>
          <w:szCs w:val="22"/>
        </w:rPr>
      </w:pPr>
      <w:r>
        <w:rPr>
          <w:rFonts w:hint="eastAsia" w:ascii="Times New Roman" w:hAnsi="Times New Roman" w:eastAsia="宋体" w:cs="Times New Roman"/>
          <w:szCs w:val="22"/>
          <w:lang w:eastAsia="zh-Hans"/>
        </w:rPr>
        <w:br w:type="page"/>
      </w:r>
      <w:r>
        <w:rPr>
          <w:rFonts w:hint="eastAsia" w:ascii="Times New Roman" w:hAnsi="Times New Roman" w:eastAsia="仿宋" w:cs="Times New Roman"/>
          <w:b/>
          <w:sz w:val="30"/>
          <w:szCs w:val="22"/>
        </w:rPr>
        <w:t>需求响应表</w:t>
      </w:r>
    </w:p>
    <w:p w14:paraId="3F62A325">
      <w:pPr>
        <w:spacing w:line="360" w:lineRule="auto"/>
        <w:rPr>
          <w:sz w:val="24"/>
        </w:rPr>
      </w:pPr>
    </w:p>
    <w:p w14:paraId="1AD3F650">
      <w:pPr>
        <w:spacing w:line="360" w:lineRule="auto"/>
        <w:rPr>
          <w:sz w:val="24"/>
        </w:rPr>
      </w:pPr>
      <w:r>
        <w:rPr>
          <w:rFonts w:hint="eastAsia"/>
          <w:sz w:val="24"/>
        </w:rPr>
        <w:t>项目名称：</w:t>
      </w:r>
    </w:p>
    <w:p w14:paraId="5699237E">
      <w:pPr>
        <w:spacing w:line="360" w:lineRule="auto"/>
      </w:pPr>
      <w:r>
        <w:rPr>
          <w:rFonts w:hint="eastAsia"/>
          <w:sz w:val="24"/>
        </w:rPr>
        <w:t>项目编号：</w:t>
      </w: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3157"/>
        <w:gridCol w:w="2264"/>
        <w:gridCol w:w="2285"/>
      </w:tblGrid>
      <w:tr w14:paraId="51C56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45" w:type="pct"/>
            <w:tcBorders>
              <w:bottom w:val="single" w:color="auto" w:sz="4" w:space="0"/>
            </w:tcBorders>
            <w:vAlign w:val="center"/>
          </w:tcPr>
          <w:p w14:paraId="443C42B5">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序号</w:t>
            </w:r>
          </w:p>
        </w:tc>
        <w:tc>
          <w:tcPr>
            <w:tcW w:w="1743" w:type="pct"/>
            <w:tcBorders>
              <w:bottom w:val="single" w:color="auto" w:sz="4" w:space="0"/>
            </w:tcBorders>
            <w:vAlign w:val="center"/>
          </w:tcPr>
          <w:p w14:paraId="0876AF9A">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招标文件要求</w:t>
            </w:r>
          </w:p>
        </w:tc>
        <w:tc>
          <w:tcPr>
            <w:tcW w:w="1250" w:type="pct"/>
            <w:tcBorders>
              <w:bottom w:val="single" w:color="auto" w:sz="4" w:space="0"/>
            </w:tcBorders>
            <w:vAlign w:val="center"/>
          </w:tcPr>
          <w:p w14:paraId="63946C25">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响应参数</w:t>
            </w:r>
          </w:p>
        </w:tc>
        <w:tc>
          <w:tcPr>
            <w:tcW w:w="1261" w:type="pct"/>
            <w:tcBorders>
              <w:bottom w:val="single" w:color="auto" w:sz="4" w:space="0"/>
            </w:tcBorders>
            <w:vAlign w:val="center"/>
          </w:tcPr>
          <w:p w14:paraId="678DB336">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偏离情况</w:t>
            </w:r>
          </w:p>
        </w:tc>
      </w:tr>
      <w:tr w14:paraId="1E19B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5000" w:type="pct"/>
            <w:gridSpan w:val="4"/>
            <w:tcBorders>
              <w:top w:val="single" w:color="auto" w:sz="4" w:space="0"/>
              <w:left w:val="single" w:color="auto" w:sz="4" w:space="0"/>
              <w:bottom w:val="single" w:color="auto" w:sz="4" w:space="0"/>
              <w:right w:val="single" w:color="auto" w:sz="4" w:space="0"/>
            </w:tcBorders>
            <w:vAlign w:val="center"/>
          </w:tcPr>
          <w:p w14:paraId="25D1955E">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采购需求</w:t>
            </w:r>
          </w:p>
        </w:tc>
      </w:tr>
      <w:tr w14:paraId="3A5D2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top w:val="single" w:color="auto" w:sz="4" w:space="0"/>
              <w:left w:val="single" w:color="auto" w:sz="4" w:space="0"/>
            </w:tcBorders>
            <w:vAlign w:val="center"/>
          </w:tcPr>
          <w:p w14:paraId="5D26CFED">
            <w:pPr>
              <w:spacing w:line="360" w:lineRule="auto"/>
              <w:jc w:val="center"/>
              <w:rPr>
                <w:rFonts w:ascii="Times New Roman" w:hAnsi="Times New Roman" w:eastAsia="Times New Roman" w:cs="Times New Roman"/>
                <w:kern w:val="0"/>
                <w:sz w:val="24"/>
              </w:rPr>
            </w:pPr>
            <w:r>
              <w:rPr>
                <w:rFonts w:ascii="Times New Roman" w:hAnsi="Times New Roman" w:eastAsia="Times New Roman" w:cs="Times New Roman"/>
                <w:kern w:val="0"/>
                <w:sz w:val="24"/>
              </w:rPr>
              <w:t>1</w:t>
            </w:r>
          </w:p>
        </w:tc>
        <w:tc>
          <w:tcPr>
            <w:tcW w:w="1743" w:type="pct"/>
            <w:tcBorders>
              <w:top w:val="single" w:color="auto" w:sz="4" w:space="0"/>
            </w:tcBorders>
            <w:vAlign w:val="center"/>
          </w:tcPr>
          <w:p w14:paraId="36FF26F7">
            <w:pPr>
              <w:spacing w:line="360" w:lineRule="auto"/>
              <w:jc w:val="center"/>
              <w:rPr>
                <w:rFonts w:ascii="Times New Roman" w:hAnsi="Times New Roman" w:eastAsia="Times New Roman" w:cs="Times New Roman"/>
                <w:kern w:val="0"/>
                <w:sz w:val="24"/>
              </w:rPr>
            </w:pPr>
          </w:p>
        </w:tc>
        <w:tc>
          <w:tcPr>
            <w:tcW w:w="1250" w:type="pct"/>
            <w:tcBorders>
              <w:top w:val="single" w:color="auto" w:sz="4" w:space="0"/>
            </w:tcBorders>
            <w:vAlign w:val="center"/>
          </w:tcPr>
          <w:p w14:paraId="62B4CA6B">
            <w:pPr>
              <w:spacing w:line="360" w:lineRule="auto"/>
              <w:jc w:val="center"/>
              <w:rPr>
                <w:rFonts w:ascii="Times New Roman" w:hAnsi="Times New Roman" w:eastAsia="Times New Roman" w:cs="Times New Roman"/>
                <w:kern w:val="0"/>
                <w:sz w:val="24"/>
              </w:rPr>
            </w:pPr>
          </w:p>
        </w:tc>
        <w:tc>
          <w:tcPr>
            <w:tcW w:w="1261" w:type="pct"/>
            <w:tcBorders>
              <w:top w:val="single" w:color="auto" w:sz="4" w:space="0"/>
              <w:right w:val="single" w:color="auto" w:sz="4" w:space="0"/>
            </w:tcBorders>
            <w:vAlign w:val="center"/>
          </w:tcPr>
          <w:p w14:paraId="431C426E">
            <w:pPr>
              <w:spacing w:line="360" w:lineRule="auto"/>
              <w:jc w:val="center"/>
              <w:rPr>
                <w:rFonts w:ascii="Times New Roman" w:hAnsi="Times New Roman" w:eastAsia="Times New Roman" w:cs="Times New Roman"/>
                <w:kern w:val="0"/>
                <w:sz w:val="24"/>
              </w:rPr>
            </w:pPr>
          </w:p>
        </w:tc>
      </w:tr>
      <w:tr w14:paraId="51D79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left w:val="single" w:color="auto" w:sz="4" w:space="0"/>
            </w:tcBorders>
            <w:vAlign w:val="center"/>
          </w:tcPr>
          <w:p w14:paraId="2EA06CA3">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2</w:t>
            </w:r>
          </w:p>
        </w:tc>
        <w:tc>
          <w:tcPr>
            <w:tcW w:w="1743" w:type="pct"/>
            <w:vAlign w:val="center"/>
          </w:tcPr>
          <w:p w14:paraId="79B844CC">
            <w:pPr>
              <w:spacing w:line="360" w:lineRule="auto"/>
              <w:jc w:val="center"/>
              <w:rPr>
                <w:rFonts w:ascii="Times New Roman" w:hAnsi="Times New Roman" w:eastAsia="Times New Roman" w:cs="Times New Roman"/>
                <w:kern w:val="0"/>
                <w:sz w:val="24"/>
              </w:rPr>
            </w:pPr>
          </w:p>
        </w:tc>
        <w:tc>
          <w:tcPr>
            <w:tcW w:w="1250" w:type="pct"/>
            <w:vAlign w:val="center"/>
          </w:tcPr>
          <w:p w14:paraId="2F90AE0D">
            <w:pPr>
              <w:spacing w:line="360" w:lineRule="auto"/>
              <w:jc w:val="center"/>
              <w:rPr>
                <w:rFonts w:ascii="Times New Roman" w:hAnsi="Times New Roman" w:eastAsia="Times New Roman" w:cs="Times New Roman"/>
                <w:kern w:val="0"/>
                <w:sz w:val="24"/>
              </w:rPr>
            </w:pPr>
          </w:p>
        </w:tc>
        <w:tc>
          <w:tcPr>
            <w:tcW w:w="1261" w:type="pct"/>
            <w:tcBorders>
              <w:right w:val="single" w:color="auto" w:sz="4" w:space="0"/>
            </w:tcBorders>
            <w:vAlign w:val="center"/>
          </w:tcPr>
          <w:p w14:paraId="267E68F3">
            <w:pPr>
              <w:spacing w:line="360" w:lineRule="auto"/>
              <w:jc w:val="center"/>
              <w:rPr>
                <w:rFonts w:ascii="Times New Roman" w:hAnsi="Times New Roman" w:eastAsia="Times New Roman" w:cs="Times New Roman"/>
                <w:kern w:val="0"/>
                <w:sz w:val="24"/>
              </w:rPr>
            </w:pPr>
          </w:p>
        </w:tc>
      </w:tr>
      <w:tr w14:paraId="4BFF7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left w:val="single" w:color="auto" w:sz="4" w:space="0"/>
            </w:tcBorders>
            <w:vAlign w:val="center"/>
          </w:tcPr>
          <w:p w14:paraId="4CB5F4C3">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w:t>
            </w:r>
          </w:p>
        </w:tc>
        <w:tc>
          <w:tcPr>
            <w:tcW w:w="1743" w:type="pct"/>
            <w:vAlign w:val="center"/>
          </w:tcPr>
          <w:p w14:paraId="68D1861A">
            <w:pPr>
              <w:spacing w:line="360" w:lineRule="auto"/>
              <w:jc w:val="center"/>
              <w:rPr>
                <w:rFonts w:ascii="Times New Roman" w:hAnsi="Times New Roman" w:eastAsia="Times New Roman" w:cs="Times New Roman"/>
                <w:kern w:val="0"/>
                <w:sz w:val="24"/>
              </w:rPr>
            </w:pPr>
          </w:p>
        </w:tc>
        <w:tc>
          <w:tcPr>
            <w:tcW w:w="1250" w:type="pct"/>
            <w:vAlign w:val="center"/>
          </w:tcPr>
          <w:p w14:paraId="5B6B595F">
            <w:pPr>
              <w:spacing w:line="360" w:lineRule="auto"/>
              <w:jc w:val="center"/>
              <w:rPr>
                <w:rFonts w:ascii="Times New Roman" w:hAnsi="Times New Roman" w:eastAsia="Times New Roman" w:cs="Times New Roman"/>
                <w:kern w:val="0"/>
                <w:sz w:val="24"/>
              </w:rPr>
            </w:pPr>
          </w:p>
        </w:tc>
        <w:tc>
          <w:tcPr>
            <w:tcW w:w="1261" w:type="pct"/>
            <w:tcBorders>
              <w:right w:val="single" w:color="auto" w:sz="4" w:space="0"/>
            </w:tcBorders>
            <w:vAlign w:val="center"/>
          </w:tcPr>
          <w:p w14:paraId="49DB189A">
            <w:pPr>
              <w:spacing w:line="360" w:lineRule="auto"/>
              <w:jc w:val="center"/>
              <w:rPr>
                <w:rFonts w:ascii="Times New Roman" w:hAnsi="Times New Roman" w:eastAsia="Times New Roman" w:cs="Times New Roman"/>
                <w:kern w:val="0"/>
                <w:sz w:val="24"/>
              </w:rPr>
            </w:pPr>
          </w:p>
        </w:tc>
      </w:tr>
      <w:tr w14:paraId="6DBD1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left w:val="single" w:color="auto" w:sz="4" w:space="0"/>
              <w:bottom w:val="single" w:color="auto" w:sz="4" w:space="0"/>
            </w:tcBorders>
            <w:vAlign w:val="center"/>
          </w:tcPr>
          <w:p w14:paraId="009DF408">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w:t>
            </w:r>
          </w:p>
        </w:tc>
        <w:tc>
          <w:tcPr>
            <w:tcW w:w="1743" w:type="pct"/>
            <w:tcBorders>
              <w:bottom w:val="single" w:color="auto" w:sz="4" w:space="0"/>
            </w:tcBorders>
            <w:vAlign w:val="center"/>
          </w:tcPr>
          <w:p w14:paraId="658B77BB">
            <w:pPr>
              <w:spacing w:line="360" w:lineRule="auto"/>
              <w:jc w:val="center"/>
              <w:rPr>
                <w:rFonts w:ascii="Times New Roman" w:hAnsi="Times New Roman" w:eastAsia="Times New Roman" w:cs="Times New Roman"/>
                <w:kern w:val="0"/>
                <w:sz w:val="24"/>
              </w:rPr>
            </w:pPr>
          </w:p>
        </w:tc>
        <w:tc>
          <w:tcPr>
            <w:tcW w:w="1250" w:type="pct"/>
            <w:tcBorders>
              <w:bottom w:val="single" w:color="auto" w:sz="4" w:space="0"/>
            </w:tcBorders>
            <w:vAlign w:val="center"/>
          </w:tcPr>
          <w:p w14:paraId="4B518C07">
            <w:pPr>
              <w:spacing w:line="360" w:lineRule="auto"/>
              <w:jc w:val="center"/>
              <w:rPr>
                <w:rFonts w:ascii="Times New Roman" w:hAnsi="Times New Roman" w:eastAsia="Times New Roman" w:cs="Times New Roman"/>
                <w:kern w:val="0"/>
                <w:sz w:val="24"/>
              </w:rPr>
            </w:pPr>
          </w:p>
        </w:tc>
        <w:tc>
          <w:tcPr>
            <w:tcW w:w="1261" w:type="pct"/>
            <w:tcBorders>
              <w:bottom w:val="single" w:color="auto" w:sz="4" w:space="0"/>
              <w:right w:val="single" w:color="auto" w:sz="4" w:space="0"/>
            </w:tcBorders>
            <w:vAlign w:val="center"/>
          </w:tcPr>
          <w:p w14:paraId="5FC48EE0">
            <w:pPr>
              <w:spacing w:line="360" w:lineRule="auto"/>
              <w:jc w:val="center"/>
              <w:rPr>
                <w:rFonts w:ascii="Times New Roman" w:hAnsi="Times New Roman" w:eastAsia="Times New Roman" w:cs="Times New Roman"/>
                <w:kern w:val="0"/>
                <w:sz w:val="24"/>
              </w:rPr>
            </w:pPr>
          </w:p>
        </w:tc>
      </w:tr>
    </w:tbl>
    <w:p w14:paraId="7C87C9C6">
      <w:pPr>
        <w:pStyle w:val="21"/>
        <w:ind w:firstLine="480"/>
        <w:rPr>
          <w:rFonts w:hint="default"/>
        </w:rPr>
      </w:pPr>
    </w:p>
    <w:p w14:paraId="2FB10934">
      <w:pPr>
        <w:pStyle w:val="21"/>
        <w:ind w:firstLine="480"/>
        <w:rPr>
          <w:rFonts w:hint="default"/>
        </w:rPr>
      </w:pPr>
      <w:r>
        <w:t>注：1.本表格若不填写，视同为完全响应招标文件要求，如投标文件其他承诺或方案内容与本响应表不一致，以本表内容为准。</w:t>
      </w:r>
    </w:p>
    <w:p w14:paraId="790F5CA7">
      <w:pPr>
        <w:pStyle w:val="21"/>
        <w:ind w:firstLine="420" w:firstLineChars="0"/>
        <w:rPr>
          <w:rFonts w:hint="default"/>
        </w:rPr>
      </w:pPr>
      <w:bookmarkStart w:id="30" w:name="_GoBack"/>
      <w:bookmarkEnd w:id="30"/>
    </w:p>
    <w:p w14:paraId="243BDAF3">
      <w:pPr>
        <w:pStyle w:val="21"/>
        <w:ind w:firstLine="420" w:firstLineChars="0"/>
        <w:rPr>
          <w:rFonts w:hint="default"/>
        </w:rPr>
      </w:pPr>
      <w:r>
        <w:t>法定代表人或授权委托人签字：</w:t>
      </w:r>
    </w:p>
    <w:p w14:paraId="443CEA03">
      <w:pPr>
        <w:pStyle w:val="21"/>
        <w:ind w:firstLine="420" w:firstLineChars="0"/>
        <w:rPr>
          <w:rFonts w:hint="default"/>
        </w:rPr>
      </w:pPr>
    </w:p>
    <w:p w14:paraId="70630D79">
      <w:pPr>
        <w:pStyle w:val="21"/>
        <w:ind w:firstLine="420" w:firstLineChars="0"/>
        <w:rPr>
          <w:rFonts w:hint="default"/>
        </w:rPr>
      </w:pPr>
      <w:r>
        <w:t>供应商全称公章：</w:t>
      </w:r>
    </w:p>
    <w:p w14:paraId="3FCD1548">
      <w:pPr>
        <w:pStyle w:val="21"/>
        <w:ind w:firstLine="420" w:firstLineChars="0"/>
        <w:jc w:val="right"/>
        <w:rPr>
          <w:rFonts w:hint="default" w:eastAsia="仿宋"/>
          <w:b/>
          <w:sz w:val="30"/>
          <w:szCs w:val="22"/>
        </w:rPr>
      </w:pPr>
      <w:r>
        <w:rPr>
          <w:lang w:eastAsia="zh-Hans"/>
        </w:rPr>
        <w:t xml:space="preserve">日期：    年  月 </w:t>
      </w:r>
      <w:r>
        <w:t xml:space="preserve"> </w:t>
      </w:r>
      <w:r>
        <w:rPr>
          <w:lang w:eastAsia="zh-Hans"/>
        </w:rPr>
        <w:t xml:space="preserve"> 日</w:t>
      </w:r>
      <w:r>
        <w:rPr>
          <w:rFonts w:eastAsia="仿宋"/>
          <w:b/>
          <w:sz w:val="30"/>
          <w:szCs w:val="22"/>
        </w:rPr>
        <w:br w:type="page"/>
      </w:r>
    </w:p>
    <w:p w14:paraId="4AA19D82">
      <w:pPr>
        <w:numPr>
          <w:ilvl w:val="0"/>
          <w:numId w:val="18"/>
        </w:num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商务响应表</w:t>
      </w:r>
    </w:p>
    <w:p w14:paraId="724FDC23">
      <w:pPr>
        <w:pStyle w:val="13"/>
        <w:ind w:firstLine="0" w:firstLineChars="0"/>
        <w:rPr>
          <w:sz w:val="24"/>
          <w:szCs w:val="22"/>
        </w:rPr>
      </w:pPr>
    </w:p>
    <w:p w14:paraId="661CE617">
      <w:pPr>
        <w:spacing w:line="360" w:lineRule="auto"/>
        <w:rPr>
          <w:sz w:val="24"/>
        </w:rPr>
      </w:pPr>
      <w:r>
        <w:rPr>
          <w:rFonts w:hint="eastAsia"/>
          <w:sz w:val="24"/>
        </w:rPr>
        <w:t>项目名称：</w:t>
      </w:r>
    </w:p>
    <w:p w14:paraId="0093E1DB">
      <w:pPr>
        <w:spacing w:line="360" w:lineRule="auto"/>
        <w:rPr>
          <w:sz w:val="24"/>
          <w:szCs w:val="22"/>
        </w:rPr>
      </w:pPr>
      <w:r>
        <w:rPr>
          <w:rFonts w:hint="eastAsia"/>
          <w:sz w:val="24"/>
        </w:rPr>
        <w:t>项目编号：</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5"/>
        <w:gridCol w:w="2348"/>
        <w:gridCol w:w="2070"/>
        <w:gridCol w:w="2817"/>
      </w:tblGrid>
      <w:tr w14:paraId="1521C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099AC088">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项目</w:t>
            </w:r>
          </w:p>
        </w:tc>
        <w:tc>
          <w:tcPr>
            <w:tcW w:w="1295" w:type="pct"/>
            <w:vAlign w:val="center"/>
          </w:tcPr>
          <w:p w14:paraId="22D94106">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招标文件要求</w:t>
            </w:r>
          </w:p>
        </w:tc>
        <w:tc>
          <w:tcPr>
            <w:tcW w:w="1142" w:type="pct"/>
            <w:vAlign w:val="center"/>
          </w:tcPr>
          <w:p w14:paraId="2CFFAF1B">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是否响应</w:t>
            </w:r>
          </w:p>
        </w:tc>
        <w:tc>
          <w:tcPr>
            <w:tcW w:w="1554" w:type="pct"/>
            <w:vAlign w:val="center"/>
          </w:tcPr>
          <w:p w14:paraId="22C60D83">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供应商的承诺和说明</w:t>
            </w:r>
          </w:p>
        </w:tc>
      </w:tr>
      <w:tr w14:paraId="549FC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2103AF8F">
            <w:pPr>
              <w:spacing w:line="360" w:lineRule="auto"/>
              <w:jc w:val="center"/>
              <w:rPr>
                <w:rFonts w:hint="eastAsia" w:ascii="宋体" w:hAnsi="宋体" w:eastAsia="宋体" w:cs="宋体"/>
                <w:kern w:val="0"/>
                <w:sz w:val="18"/>
                <w:szCs w:val="18"/>
              </w:rPr>
            </w:pPr>
          </w:p>
        </w:tc>
        <w:tc>
          <w:tcPr>
            <w:tcW w:w="1295" w:type="pct"/>
            <w:vAlign w:val="center"/>
          </w:tcPr>
          <w:p w14:paraId="768421DF">
            <w:pPr>
              <w:spacing w:line="360" w:lineRule="auto"/>
              <w:jc w:val="center"/>
              <w:rPr>
                <w:rFonts w:ascii="Times New Roman" w:hAnsi="Times New Roman" w:eastAsia="Times New Roman" w:cs="Times New Roman"/>
                <w:kern w:val="0"/>
                <w:szCs w:val="21"/>
              </w:rPr>
            </w:pPr>
          </w:p>
        </w:tc>
        <w:tc>
          <w:tcPr>
            <w:tcW w:w="1142" w:type="pct"/>
            <w:vAlign w:val="center"/>
          </w:tcPr>
          <w:p w14:paraId="09470C18">
            <w:pPr>
              <w:spacing w:line="360" w:lineRule="auto"/>
              <w:jc w:val="center"/>
              <w:rPr>
                <w:rFonts w:ascii="Times New Roman" w:hAnsi="Times New Roman" w:eastAsia="Times New Roman" w:cs="Times New Roman"/>
                <w:kern w:val="0"/>
                <w:szCs w:val="21"/>
              </w:rPr>
            </w:pPr>
          </w:p>
        </w:tc>
        <w:tc>
          <w:tcPr>
            <w:tcW w:w="1554" w:type="pct"/>
            <w:vAlign w:val="center"/>
          </w:tcPr>
          <w:p w14:paraId="73C84046">
            <w:pPr>
              <w:spacing w:line="360" w:lineRule="auto"/>
              <w:jc w:val="center"/>
              <w:rPr>
                <w:rFonts w:ascii="Times New Roman" w:hAnsi="Times New Roman" w:eastAsia="Times New Roman" w:cs="Times New Roman"/>
                <w:kern w:val="0"/>
                <w:szCs w:val="21"/>
              </w:rPr>
            </w:pPr>
          </w:p>
        </w:tc>
      </w:tr>
      <w:tr w14:paraId="5283D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25D78372">
            <w:pPr>
              <w:spacing w:line="360" w:lineRule="auto"/>
              <w:jc w:val="center"/>
              <w:rPr>
                <w:rFonts w:hint="eastAsia" w:ascii="宋体" w:hAnsi="宋体" w:eastAsia="宋体" w:cs="宋体"/>
                <w:kern w:val="0"/>
                <w:sz w:val="18"/>
                <w:szCs w:val="18"/>
              </w:rPr>
            </w:pPr>
          </w:p>
        </w:tc>
        <w:tc>
          <w:tcPr>
            <w:tcW w:w="1295" w:type="pct"/>
            <w:vAlign w:val="center"/>
          </w:tcPr>
          <w:p w14:paraId="1A275809">
            <w:pPr>
              <w:spacing w:line="360" w:lineRule="auto"/>
              <w:jc w:val="center"/>
              <w:rPr>
                <w:rFonts w:ascii="Times New Roman" w:hAnsi="Times New Roman" w:eastAsia="Times New Roman" w:cs="Times New Roman"/>
                <w:kern w:val="0"/>
                <w:szCs w:val="21"/>
              </w:rPr>
            </w:pPr>
          </w:p>
        </w:tc>
        <w:tc>
          <w:tcPr>
            <w:tcW w:w="1142" w:type="pct"/>
            <w:vAlign w:val="center"/>
          </w:tcPr>
          <w:p w14:paraId="7BD6044F">
            <w:pPr>
              <w:spacing w:line="360" w:lineRule="auto"/>
              <w:jc w:val="center"/>
              <w:rPr>
                <w:rFonts w:ascii="Times New Roman" w:hAnsi="Times New Roman" w:eastAsia="Times New Roman" w:cs="Times New Roman"/>
                <w:kern w:val="0"/>
                <w:szCs w:val="21"/>
              </w:rPr>
            </w:pPr>
          </w:p>
        </w:tc>
        <w:tc>
          <w:tcPr>
            <w:tcW w:w="1554" w:type="pct"/>
            <w:vAlign w:val="center"/>
          </w:tcPr>
          <w:p w14:paraId="648B9193">
            <w:pPr>
              <w:spacing w:line="360" w:lineRule="auto"/>
              <w:jc w:val="center"/>
              <w:rPr>
                <w:rFonts w:ascii="Times New Roman" w:hAnsi="Times New Roman" w:eastAsia="Times New Roman" w:cs="Times New Roman"/>
                <w:kern w:val="0"/>
                <w:szCs w:val="21"/>
              </w:rPr>
            </w:pPr>
          </w:p>
        </w:tc>
      </w:tr>
      <w:tr w14:paraId="249F4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01C4695D">
            <w:pPr>
              <w:spacing w:line="360" w:lineRule="auto"/>
              <w:jc w:val="center"/>
              <w:rPr>
                <w:rFonts w:hint="eastAsia" w:ascii="宋体" w:hAnsi="宋体" w:eastAsia="宋体" w:cs="宋体"/>
                <w:kern w:val="0"/>
                <w:sz w:val="18"/>
                <w:szCs w:val="18"/>
              </w:rPr>
            </w:pPr>
          </w:p>
        </w:tc>
        <w:tc>
          <w:tcPr>
            <w:tcW w:w="1295" w:type="pct"/>
            <w:vAlign w:val="center"/>
          </w:tcPr>
          <w:p w14:paraId="6A2294F3">
            <w:pPr>
              <w:spacing w:line="360" w:lineRule="auto"/>
              <w:jc w:val="center"/>
              <w:rPr>
                <w:rFonts w:ascii="Times New Roman" w:hAnsi="Times New Roman" w:eastAsia="Times New Roman" w:cs="Times New Roman"/>
                <w:kern w:val="0"/>
                <w:szCs w:val="21"/>
              </w:rPr>
            </w:pPr>
          </w:p>
        </w:tc>
        <w:tc>
          <w:tcPr>
            <w:tcW w:w="1142" w:type="pct"/>
            <w:vAlign w:val="center"/>
          </w:tcPr>
          <w:p w14:paraId="5E3FCE8B">
            <w:pPr>
              <w:spacing w:line="360" w:lineRule="auto"/>
              <w:jc w:val="center"/>
              <w:rPr>
                <w:rFonts w:ascii="Times New Roman" w:hAnsi="Times New Roman" w:eastAsia="Times New Roman" w:cs="Times New Roman"/>
                <w:kern w:val="0"/>
                <w:szCs w:val="21"/>
              </w:rPr>
            </w:pPr>
          </w:p>
        </w:tc>
        <w:tc>
          <w:tcPr>
            <w:tcW w:w="1554" w:type="pct"/>
            <w:vAlign w:val="center"/>
          </w:tcPr>
          <w:p w14:paraId="53E3378C">
            <w:pPr>
              <w:spacing w:line="360" w:lineRule="auto"/>
              <w:jc w:val="center"/>
              <w:rPr>
                <w:rFonts w:ascii="Times New Roman" w:hAnsi="Times New Roman" w:eastAsia="Times New Roman" w:cs="Times New Roman"/>
                <w:kern w:val="0"/>
                <w:szCs w:val="21"/>
              </w:rPr>
            </w:pPr>
          </w:p>
        </w:tc>
      </w:tr>
      <w:tr w14:paraId="46468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6F0EA7F9">
            <w:pPr>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w:t>
            </w:r>
          </w:p>
        </w:tc>
        <w:tc>
          <w:tcPr>
            <w:tcW w:w="1295" w:type="pct"/>
            <w:vAlign w:val="center"/>
          </w:tcPr>
          <w:p w14:paraId="6862BCCF">
            <w:pPr>
              <w:spacing w:line="360" w:lineRule="auto"/>
              <w:jc w:val="center"/>
              <w:rPr>
                <w:rFonts w:ascii="Times New Roman" w:hAnsi="Times New Roman" w:eastAsia="Times New Roman" w:cs="Times New Roman"/>
                <w:kern w:val="0"/>
                <w:szCs w:val="21"/>
              </w:rPr>
            </w:pPr>
          </w:p>
        </w:tc>
        <w:tc>
          <w:tcPr>
            <w:tcW w:w="1142" w:type="pct"/>
            <w:vAlign w:val="center"/>
          </w:tcPr>
          <w:p w14:paraId="2555AB1B">
            <w:pPr>
              <w:spacing w:line="360" w:lineRule="auto"/>
              <w:jc w:val="center"/>
              <w:rPr>
                <w:rFonts w:ascii="Times New Roman" w:hAnsi="Times New Roman" w:eastAsia="Times New Roman" w:cs="Times New Roman"/>
                <w:kern w:val="0"/>
                <w:szCs w:val="21"/>
              </w:rPr>
            </w:pPr>
          </w:p>
        </w:tc>
        <w:tc>
          <w:tcPr>
            <w:tcW w:w="1554" w:type="pct"/>
            <w:vAlign w:val="center"/>
          </w:tcPr>
          <w:p w14:paraId="7478D4A1">
            <w:pPr>
              <w:spacing w:line="360" w:lineRule="auto"/>
              <w:jc w:val="center"/>
              <w:rPr>
                <w:rFonts w:ascii="Times New Roman" w:hAnsi="Times New Roman" w:eastAsia="Times New Roman" w:cs="Times New Roman"/>
                <w:kern w:val="0"/>
                <w:szCs w:val="21"/>
              </w:rPr>
            </w:pPr>
          </w:p>
        </w:tc>
      </w:tr>
      <w:tr w14:paraId="7FB16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1D13BD5E">
            <w:pPr>
              <w:spacing w:line="360" w:lineRule="auto"/>
              <w:jc w:val="center"/>
              <w:rPr>
                <w:rFonts w:ascii="Times New Roman" w:hAnsi="Times New Roman" w:eastAsia="宋体" w:cs="Times New Roman"/>
                <w:kern w:val="0"/>
                <w:szCs w:val="21"/>
              </w:rPr>
            </w:pPr>
          </w:p>
        </w:tc>
        <w:tc>
          <w:tcPr>
            <w:tcW w:w="1295" w:type="pct"/>
            <w:vAlign w:val="center"/>
          </w:tcPr>
          <w:p w14:paraId="133B2100">
            <w:pPr>
              <w:spacing w:line="360" w:lineRule="auto"/>
              <w:jc w:val="center"/>
              <w:rPr>
                <w:rFonts w:ascii="Times New Roman" w:hAnsi="Times New Roman" w:eastAsia="Times New Roman" w:cs="Times New Roman"/>
                <w:kern w:val="0"/>
                <w:szCs w:val="21"/>
              </w:rPr>
            </w:pPr>
          </w:p>
        </w:tc>
        <w:tc>
          <w:tcPr>
            <w:tcW w:w="1142" w:type="pct"/>
            <w:vAlign w:val="center"/>
          </w:tcPr>
          <w:p w14:paraId="3F96BBD8">
            <w:pPr>
              <w:spacing w:line="360" w:lineRule="auto"/>
              <w:jc w:val="center"/>
              <w:rPr>
                <w:rFonts w:ascii="Times New Roman" w:hAnsi="Times New Roman" w:eastAsia="Times New Roman" w:cs="Times New Roman"/>
                <w:kern w:val="0"/>
                <w:szCs w:val="21"/>
              </w:rPr>
            </w:pPr>
          </w:p>
        </w:tc>
        <w:tc>
          <w:tcPr>
            <w:tcW w:w="1554" w:type="pct"/>
            <w:vAlign w:val="center"/>
          </w:tcPr>
          <w:p w14:paraId="21BB5DF0">
            <w:pPr>
              <w:spacing w:line="360" w:lineRule="auto"/>
              <w:jc w:val="center"/>
              <w:rPr>
                <w:rFonts w:ascii="Times New Roman" w:hAnsi="Times New Roman" w:eastAsia="Times New Roman" w:cs="Times New Roman"/>
                <w:kern w:val="0"/>
                <w:szCs w:val="21"/>
              </w:rPr>
            </w:pPr>
          </w:p>
        </w:tc>
      </w:tr>
    </w:tbl>
    <w:p w14:paraId="4DE0612B">
      <w:pPr>
        <w:jc w:val="center"/>
        <w:rPr>
          <w:rFonts w:ascii="Times New Roman" w:hAnsi="Times New Roman" w:eastAsia="宋体" w:cs="Times New Roman"/>
          <w:szCs w:val="22"/>
        </w:rPr>
      </w:pPr>
    </w:p>
    <w:p w14:paraId="0C7D8D7F">
      <w:pPr>
        <w:pStyle w:val="21"/>
        <w:ind w:firstLine="420" w:firstLineChars="0"/>
        <w:rPr>
          <w:rFonts w:hint="default"/>
        </w:rPr>
      </w:pPr>
      <w:r>
        <w:t>本表格若不填写，视同为完全响应招标文件要求，如投标文件其他承诺或方案内容与本响应表不一致，以本表内容为准。</w:t>
      </w:r>
    </w:p>
    <w:p w14:paraId="06F75372">
      <w:pPr>
        <w:pStyle w:val="21"/>
        <w:ind w:firstLine="480"/>
        <w:rPr>
          <w:rFonts w:hint="default"/>
        </w:rPr>
      </w:pPr>
    </w:p>
    <w:p w14:paraId="2761E0CC">
      <w:pPr>
        <w:pStyle w:val="21"/>
        <w:ind w:firstLine="0" w:firstLineChars="0"/>
        <w:rPr>
          <w:rFonts w:hint="default"/>
        </w:rPr>
      </w:pPr>
      <w:r>
        <w:t>法定代表人或授权委托人签字：</w:t>
      </w:r>
    </w:p>
    <w:p w14:paraId="6C218AA4">
      <w:pPr>
        <w:pStyle w:val="21"/>
        <w:ind w:firstLine="480"/>
        <w:rPr>
          <w:rFonts w:hint="default"/>
        </w:rPr>
      </w:pPr>
    </w:p>
    <w:p w14:paraId="6DF69F9D">
      <w:pPr>
        <w:pStyle w:val="21"/>
        <w:ind w:firstLine="0" w:firstLineChars="0"/>
        <w:rPr>
          <w:rFonts w:hint="default"/>
        </w:rPr>
      </w:pPr>
      <w:r>
        <w:t>供应商全称公章：</w:t>
      </w:r>
    </w:p>
    <w:p w14:paraId="64087068">
      <w:pPr>
        <w:pStyle w:val="21"/>
        <w:ind w:firstLine="480"/>
        <w:rPr>
          <w:rFonts w:hint="default"/>
        </w:rPr>
      </w:pPr>
    </w:p>
    <w:p w14:paraId="071903A4">
      <w:pPr>
        <w:pStyle w:val="21"/>
        <w:ind w:firstLine="0" w:firstLineChars="0"/>
        <w:rPr>
          <w:rFonts w:hint="default"/>
        </w:rPr>
      </w:pPr>
      <w:r>
        <w:rPr>
          <w:lang w:eastAsia="zh-Hans"/>
        </w:rPr>
        <w:t>日期：    年  月  日</w:t>
      </w:r>
    </w:p>
    <w:p w14:paraId="38BE8912">
      <w:pPr>
        <w:rPr>
          <w:rFonts w:hint="eastAsia" w:ascii="仿宋" w:hAnsi="仿宋" w:eastAsia="仿宋" w:cs="仿宋"/>
          <w:b/>
          <w:sz w:val="30"/>
          <w:szCs w:val="30"/>
        </w:rPr>
      </w:pPr>
      <w:r>
        <w:rPr>
          <w:rFonts w:hint="eastAsia" w:ascii="仿宋" w:hAnsi="仿宋" w:eastAsia="仿宋" w:cs="仿宋"/>
          <w:b/>
          <w:sz w:val="30"/>
          <w:szCs w:val="30"/>
        </w:rPr>
        <w:br w:type="page"/>
      </w:r>
    </w:p>
    <w:p w14:paraId="67F1D657">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十、企业业绩</w:t>
      </w:r>
    </w:p>
    <w:p w14:paraId="7EE01BF6">
      <w:pPr>
        <w:pStyle w:val="13"/>
        <w:ind w:firstLine="0" w:firstLineChars="0"/>
        <w:rPr>
          <w:rFonts w:hint="eastAsia" w:ascii="宋体" w:hAnsi="宋体" w:cs="宋体"/>
          <w:sz w:val="24"/>
        </w:rPr>
      </w:pPr>
    </w:p>
    <w:tbl>
      <w:tblPr>
        <w:tblStyle w:val="14"/>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6B06C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9" w:hRule="atLeast"/>
        </w:trPr>
        <w:tc>
          <w:tcPr>
            <w:tcW w:w="1808" w:type="dxa"/>
            <w:vAlign w:val="center"/>
          </w:tcPr>
          <w:p w14:paraId="27D36365">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序号</w:t>
            </w:r>
          </w:p>
        </w:tc>
        <w:tc>
          <w:tcPr>
            <w:tcW w:w="1808" w:type="dxa"/>
            <w:vAlign w:val="center"/>
          </w:tcPr>
          <w:p w14:paraId="746E1C87">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使用方</w:t>
            </w:r>
          </w:p>
        </w:tc>
        <w:tc>
          <w:tcPr>
            <w:tcW w:w="1808" w:type="dxa"/>
            <w:vAlign w:val="center"/>
          </w:tcPr>
          <w:p w14:paraId="71AAF5DB">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项目名称</w:t>
            </w:r>
          </w:p>
        </w:tc>
        <w:tc>
          <w:tcPr>
            <w:tcW w:w="1808" w:type="dxa"/>
            <w:vAlign w:val="center"/>
          </w:tcPr>
          <w:p w14:paraId="635360E0">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成交金额</w:t>
            </w:r>
          </w:p>
          <w:p w14:paraId="277D21F7">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（单位：元）</w:t>
            </w:r>
          </w:p>
        </w:tc>
        <w:tc>
          <w:tcPr>
            <w:tcW w:w="1808" w:type="dxa"/>
            <w:vAlign w:val="center"/>
          </w:tcPr>
          <w:p w14:paraId="75D90651">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签订时间</w:t>
            </w:r>
          </w:p>
        </w:tc>
      </w:tr>
      <w:tr w14:paraId="329B2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1FBAFCD0">
            <w:pPr>
              <w:spacing w:line="360" w:lineRule="auto"/>
              <w:jc w:val="center"/>
              <w:rPr>
                <w:rFonts w:ascii="Times New Roman" w:hAnsi="Times New Roman" w:eastAsia="Times New Roman" w:cs="Times New Roman"/>
                <w:kern w:val="0"/>
                <w:sz w:val="24"/>
                <w:szCs w:val="20"/>
              </w:rPr>
            </w:pPr>
          </w:p>
        </w:tc>
        <w:tc>
          <w:tcPr>
            <w:tcW w:w="1808" w:type="dxa"/>
            <w:vAlign w:val="center"/>
          </w:tcPr>
          <w:p w14:paraId="4175E8B6">
            <w:pPr>
              <w:spacing w:line="360" w:lineRule="auto"/>
              <w:jc w:val="center"/>
              <w:rPr>
                <w:rFonts w:ascii="Times New Roman" w:hAnsi="Times New Roman" w:eastAsia="Times New Roman" w:cs="Times New Roman"/>
                <w:kern w:val="0"/>
                <w:sz w:val="24"/>
                <w:szCs w:val="20"/>
              </w:rPr>
            </w:pPr>
          </w:p>
        </w:tc>
        <w:tc>
          <w:tcPr>
            <w:tcW w:w="1808" w:type="dxa"/>
            <w:vAlign w:val="center"/>
          </w:tcPr>
          <w:p w14:paraId="7250F41F">
            <w:pPr>
              <w:spacing w:line="360" w:lineRule="auto"/>
              <w:jc w:val="center"/>
              <w:rPr>
                <w:rFonts w:ascii="Times New Roman" w:hAnsi="Times New Roman" w:eastAsia="Times New Roman" w:cs="Times New Roman"/>
                <w:kern w:val="0"/>
                <w:sz w:val="24"/>
                <w:szCs w:val="20"/>
              </w:rPr>
            </w:pPr>
          </w:p>
        </w:tc>
        <w:tc>
          <w:tcPr>
            <w:tcW w:w="1808" w:type="dxa"/>
            <w:vAlign w:val="center"/>
          </w:tcPr>
          <w:p w14:paraId="4F4121D7">
            <w:pPr>
              <w:spacing w:line="360" w:lineRule="auto"/>
              <w:jc w:val="center"/>
              <w:rPr>
                <w:rFonts w:ascii="Times New Roman" w:hAnsi="Times New Roman" w:eastAsia="Times New Roman" w:cs="Times New Roman"/>
                <w:kern w:val="0"/>
                <w:sz w:val="24"/>
                <w:szCs w:val="20"/>
              </w:rPr>
            </w:pPr>
          </w:p>
        </w:tc>
        <w:tc>
          <w:tcPr>
            <w:tcW w:w="1808" w:type="dxa"/>
            <w:vAlign w:val="center"/>
          </w:tcPr>
          <w:p w14:paraId="25A8B9C0">
            <w:pPr>
              <w:spacing w:line="360" w:lineRule="auto"/>
              <w:jc w:val="center"/>
              <w:rPr>
                <w:rFonts w:ascii="Times New Roman" w:hAnsi="Times New Roman" w:eastAsia="Times New Roman" w:cs="Times New Roman"/>
                <w:kern w:val="0"/>
                <w:sz w:val="24"/>
                <w:szCs w:val="20"/>
              </w:rPr>
            </w:pPr>
          </w:p>
        </w:tc>
      </w:tr>
      <w:tr w14:paraId="32DC9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4A7AB075">
            <w:pPr>
              <w:spacing w:line="360" w:lineRule="auto"/>
              <w:jc w:val="center"/>
              <w:rPr>
                <w:rFonts w:ascii="Times New Roman" w:hAnsi="Times New Roman" w:eastAsia="Times New Roman" w:cs="Times New Roman"/>
                <w:kern w:val="0"/>
                <w:sz w:val="24"/>
                <w:szCs w:val="20"/>
              </w:rPr>
            </w:pPr>
          </w:p>
        </w:tc>
        <w:tc>
          <w:tcPr>
            <w:tcW w:w="1808" w:type="dxa"/>
            <w:vAlign w:val="center"/>
          </w:tcPr>
          <w:p w14:paraId="6EFDBCC9">
            <w:pPr>
              <w:spacing w:line="360" w:lineRule="auto"/>
              <w:jc w:val="center"/>
              <w:rPr>
                <w:rFonts w:ascii="Times New Roman" w:hAnsi="Times New Roman" w:eastAsia="Times New Roman" w:cs="Times New Roman"/>
                <w:kern w:val="0"/>
                <w:sz w:val="24"/>
                <w:szCs w:val="20"/>
              </w:rPr>
            </w:pPr>
          </w:p>
        </w:tc>
        <w:tc>
          <w:tcPr>
            <w:tcW w:w="1808" w:type="dxa"/>
            <w:vAlign w:val="center"/>
          </w:tcPr>
          <w:p w14:paraId="0D864F25">
            <w:pPr>
              <w:spacing w:line="360" w:lineRule="auto"/>
              <w:jc w:val="center"/>
              <w:rPr>
                <w:rFonts w:ascii="Times New Roman" w:hAnsi="Times New Roman" w:eastAsia="Times New Roman" w:cs="Times New Roman"/>
                <w:kern w:val="0"/>
                <w:sz w:val="24"/>
                <w:szCs w:val="20"/>
              </w:rPr>
            </w:pPr>
          </w:p>
        </w:tc>
        <w:tc>
          <w:tcPr>
            <w:tcW w:w="1808" w:type="dxa"/>
            <w:vAlign w:val="center"/>
          </w:tcPr>
          <w:p w14:paraId="6C294AB5">
            <w:pPr>
              <w:spacing w:line="360" w:lineRule="auto"/>
              <w:jc w:val="center"/>
              <w:rPr>
                <w:rFonts w:ascii="Times New Roman" w:hAnsi="Times New Roman" w:eastAsia="Times New Roman" w:cs="Times New Roman"/>
                <w:kern w:val="0"/>
                <w:sz w:val="24"/>
                <w:szCs w:val="20"/>
              </w:rPr>
            </w:pPr>
          </w:p>
        </w:tc>
        <w:tc>
          <w:tcPr>
            <w:tcW w:w="1808" w:type="dxa"/>
            <w:vAlign w:val="center"/>
          </w:tcPr>
          <w:p w14:paraId="5D6B526E">
            <w:pPr>
              <w:spacing w:line="360" w:lineRule="auto"/>
              <w:jc w:val="center"/>
              <w:rPr>
                <w:rFonts w:ascii="Times New Roman" w:hAnsi="Times New Roman" w:eastAsia="Times New Roman" w:cs="Times New Roman"/>
                <w:kern w:val="0"/>
                <w:sz w:val="24"/>
                <w:szCs w:val="20"/>
              </w:rPr>
            </w:pPr>
          </w:p>
        </w:tc>
      </w:tr>
    </w:tbl>
    <w:p w14:paraId="530AD47D">
      <w:pPr>
        <w:rPr>
          <w:rFonts w:ascii="Times New Roman" w:hAnsi="Times New Roman" w:eastAsia="宋体" w:cs="Times New Roman"/>
          <w:szCs w:val="22"/>
        </w:rPr>
      </w:pPr>
    </w:p>
    <w:p w14:paraId="1584C8B2">
      <w:pPr>
        <w:pStyle w:val="21"/>
        <w:ind w:firstLine="0" w:firstLineChars="0"/>
        <w:rPr>
          <w:rFonts w:hint="default"/>
        </w:rPr>
      </w:pPr>
      <w:r>
        <w:t>1.业绩是指供应商2022年1月1日至今</w:t>
      </w:r>
      <w:r>
        <w:rPr>
          <w:rFonts w:hint="eastAsia"/>
          <w:lang w:val="en-US" w:eastAsia="zh-CN"/>
        </w:rPr>
        <w:t>同类</w:t>
      </w:r>
      <w:r>
        <w:t>业绩；</w:t>
      </w:r>
    </w:p>
    <w:p w14:paraId="715740B4">
      <w:pPr>
        <w:pStyle w:val="21"/>
        <w:ind w:firstLine="0" w:firstLineChars="0"/>
        <w:rPr>
          <w:rFonts w:hint="default"/>
        </w:rPr>
      </w:pPr>
      <w:r>
        <w:t>2.此表仅提供表格形式，供应商应根据需要准备足够数量的表格来填写。</w:t>
      </w:r>
    </w:p>
    <w:p w14:paraId="4AB2CEC0">
      <w:pPr>
        <w:pStyle w:val="21"/>
        <w:ind w:firstLine="480"/>
        <w:rPr>
          <w:rFonts w:hint="default"/>
        </w:rPr>
      </w:pPr>
    </w:p>
    <w:p w14:paraId="0550C935">
      <w:pPr>
        <w:pStyle w:val="21"/>
        <w:ind w:firstLine="0" w:firstLineChars="0"/>
        <w:rPr>
          <w:rFonts w:hint="default"/>
        </w:rPr>
      </w:pPr>
      <w:r>
        <w:t>法定代表人或授权委托人签字：</w:t>
      </w:r>
    </w:p>
    <w:p w14:paraId="41020115">
      <w:pPr>
        <w:pStyle w:val="21"/>
        <w:ind w:firstLine="480"/>
        <w:rPr>
          <w:rFonts w:hint="default"/>
        </w:rPr>
      </w:pPr>
    </w:p>
    <w:p w14:paraId="66EFD00A">
      <w:pPr>
        <w:pStyle w:val="21"/>
        <w:ind w:firstLine="0" w:firstLineChars="0"/>
        <w:rPr>
          <w:rFonts w:hint="default"/>
        </w:rPr>
      </w:pPr>
      <w:r>
        <w:t>供应商全称公章：</w:t>
      </w:r>
    </w:p>
    <w:p w14:paraId="77ED2111">
      <w:pPr>
        <w:pStyle w:val="21"/>
        <w:ind w:firstLine="480"/>
        <w:rPr>
          <w:rFonts w:hint="default"/>
        </w:rPr>
      </w:pPr>
    </w:p>
    <w:p w14:paraId="4EAABEF0">
      <w:pPr>
        <w:pStyle w:val="21"/>
        <w:ind w:firstLine="0" w:firstLineChars="0"/>
        <w:rPr>
          <w:rFonts w:hint="default"/>
        </w:rPr>
      </w:pPr>
      <w:r>
        <w:rPr>
          <w:lang w:eastAsia="zh-Hans"/>
        </w:rPr>
        <w:t>日期：    年  月  日</w:t>
      </w:r>
    </w:p>
    <w:p w14:paraId="71AE6465">
      <w:pPr>
        <w:rPr>
          <w:rFonts w:ascii="Times New Roman" w:hAnsi="Times New Roman" w:eastAsia="宋体" w:cs="Times New Roman"/>
          <w:b/>
          <w:sz w:val="30"/>
          <w:szCs w:val="30"/>
        </w:rPr>
      </w:pPr>
    </w:p>
    <w:p w14:paraId="3FF8393C">
      <w:pPr>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0D2A0044">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项目理解分析；</w:t>
      </w:r>
    </w:p>
    <w:p w14:paraId="6992DDAD">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项目实施方案；</w:t>
      </w:r>
    </w:p>
    <w:p w14:paraId="4A5E2304">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人员配备；</w:t>
      </w:r>
    </w:p>
    <w:p w14:paraId="411B218C">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培训计划；</w:t>
      </w:r>
    </w:p>
    <w:p w14:paraId="7D27ECFE">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资源利用；</w:t>
      </w:r>
    </w:p>
    <w:p w14:paraId="1E724AC8">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售后服务；</w:t>
      </w:r>
    </w:p>
    <w:p w14:paraId="0C2CA996">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企业实力；</w:t>
      </w:r>
    </w:p>
    <w:p w14:paraId="0084B4E3">
      <w:pPr>
        <w:outlineLvl w:val="2"/>
        <w:rPr>
          <w:rFonts w:hint="eastAsia" w:ascii="Times New Roman" w:hAnsi="Times New Roman" w:eastAsia="仿宋" w:cs="Times New Roman"/>
          <w:b/>
          <w:sz w:val="30"/>
          <w:szCs w:val="22"/>
        </w:rPr>
      </w:pPr>
      <w:r>
        <w:rPr>
          <w:rFonts w:hint="eastAsia" w:ascii="Times New Roman" w:hAnsi="Times New Roman" w:eastAsia="仿宋" w:cs="Times New Roman"/>
          <w:b/>
          <w:sz w:val="30"/>
          <w:szCs w:val="22"/>
        </w:rPr>
        <w:t>企业业绩；</w:t>
      </w:r>
    </w:p>
    <w:p w14:paraId="6FC90BDA">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其他供应商认为有必要提供的材料。</w:t>
      </w:r>
    </w:p>
    <w:p w14:paraId="1E11C2BA">
      <w:pPr>
        <w:ind w:left="420"/>
        <w:jc w:val="left"/>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7299E9F9">
      <w:pPr>
        <w:pStyle w:val="13"/>
        <w:ind w:firstLine="0" w:firstLineChars="0"/>
      </w:pPr>
      <w:bookmarkStart w:id="29" w:name="附录5"/>
      <w:r>
        <w:rPr>
          <w:rFonts w:hint="eastAsia"/>
        </w:rPr>
        <w:t>附件5</w:t>
      </w:r>
    </w:p>
    <w:bookmarkEnd w:id="29"/>
    <w:p w14:paraId="075AE5A2">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5FAF89F5">
      <w:pPr>
        <w:jc w:val="center"/>
        <w:rPr>
          <w:rFonts w:ascii="Times New Roman" w:hAnsi="Times New Roman" w:eastAsia="宋体" w:cs="Times New Roman"/>
          <w:sz w:val="96"/>
          <w:szCs w:val="72"/>
        </w:rPr>
      </w:pPr>
    </w:p>
    <w:p w14:paraId="63D4DAF2">
      <w:pPr>
        <w:jc w:val="center"/>
        <w:rPr>
          <w:rFonts w:ascii="Times New Roman" w:hAnsi="Times New Roman" w:eastAsia="宋体" w:cs="Times New Roman"/>
          <w:sz w:val="96"/>
          <w:szCs w:val="72"/>
        </w:rPr>
      </w:pPr>
    </w:p>
    <w:p w14:paraId="76BF7FC4">
      <w:pPr>
        <w:jc w:val="center"/>
        <w:rPr>
          <w:rFonts w:ascii="Times New Roman" w:hAnsi="Times New Roman" w:eastAsia="宋体" w:cs="Times New Roman"/>
          <w:sz w:val="56"/>
          <w:szCs w:val="52"/>
        </w:rPr>
      </w:pPr>
    </w:p>
    <w:p w14:paraId="353FD496">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报价文件</w:t>
      </w:r>
    </w:p>
    <w:p w14:paraId="43E3D9EA">
      <w:pPr>
        <w:jc w:val="center"/>
        <w:rPr>
          <w:rFonts w:ascii="Times New Roman" w:hAnsi="Times New Roman" w:eastAsia="宋体" w:cs="Times New Roman"/>
          <w:sz w:val="96"/>
          <w:szCs w:val="72"/>
        </w:rPr>
      </w:pPr>
    </w:p>
    <w:p w14:paraId="39766C9A">
      <w:pPr>
        <w:jc w:val="center"/>
        <w:rPr>
          <w:rFonts w:ascii="Times New Roman" w:hAnsi="Times New Roman" w:eastAsia="宋体" w:cs="Times New Roman"/>
          <w:sz w:val="56"/>
          <w:szCs w:val="52"/>
        </w:rPr>
      </w:pPr>
    </w:p>
    <w:p w14:paraId="64659CAD">
      <w:pPr>
        <w:pStyle w:val="13"/>
        <w:ind w:firstLine="280"/>
      </w:pPr>
      <w:r>
        <w:rPr>
          <w:rFonts w:hint="eastAsia"/>
        </w:rPr>
        <w:t>项目名称：</w:t>
      </w:r>
    </w:p>
    <w:p w14:paraId="2F9D8C2C">
      <w:pPr>
        <w:pStyle w:val="13"/>
        <w:ind w:firstLine="280"/>
      </w:pPr>
      <w:r>
        <w:rPr>
          <w:rFonts w:hint="eastAsia"/>
        </w:rPr>
        <w:t>项目编号：</w:t>
      </w:r>
    </w:p>
    <w:p w14:paraId="69165A8F">
      <w:pPr>
        <w:pStyle w:val="13"/>
        <w:ind w:firstLine="280"/>
      </w:pPr>
      <w:r>
        <w:rPr>
          <w:rFonts w:hint="eastAsia"/>
        </w:rPr>
        <w:t>投标人名称：</w:t>
      </w:r>
    </w:p>
    <w:p w14:paraId="0927A9D9">
      <w:pPr>
        <w:pStyle w:val="13"/>
        <w:ind w:firstLine="280"/>
      </w:pPr>
      <w:r>
        <w:rPr>
          <w:rFonts w:hint="eastAsia"/>
        </w:rPr>
        <w:t>投标人地址：</w:t>
      </w:r>
    </w:p>
    <w:p w14:paraId="28F348A9">
      <w:pPr>
        <w:pStyle w:val="13"/>
        <w:ind w:firstLine="280"/>
      </w:pPr>
      <w:r>
        <w:rPr>
          <w:rFonts w:hint="eastAsia"/>
        </w:rPr>
        <w:t>在    年    月    日    时    分之前不得启封</w:t>
      </w:r>
    </w:p>
    <w:p w14:paraId="595580DE">
      <w:pPr>
        <w:ind w:firstLine="480"/>
        <w:jc w:val="right"/>
        <w:rPr>
          <w:rFonts w:ascii="Times New Roman" w:hAnsi="Times New Roman" w:eastAsia="宋体" w:cs="Times New Roman"/>
          <w:b/>
          <w:sz w:val="32"/>
        </w:rPr>
      </w:pPr>
      <w:r>
        <w:rPr>
          <w:rFonts w:hint="eastAsia" w:ascii="Times New Roman" w:hAnsi="Times New Roman" w:eastAsia="宋体" w:cs="Times New Roman"/>
          <w:sz w:val="28"/>
        </w:rPr>
        <w:t>年  月  日</w:t>
      </w:r>
    </w:p>
    <w:p w14:paraId="12E6E795">
      <w:pPr>
        <w:rPr>
          <w:rFonts w:ascii="Times New Roman" w:hAnsi="Times New Roman" w:eastAsia="宋体" w:cs="Times New Roman"/>
          <w:b/>
          <w:sz w:val="32"/>
        </w:rPr>
      </w:pPr>
      <w:r>
        <w:rPr>
          <w:rFonts w:hint="eastAsia" w:ascii="Times New Roman" w:hAnsi="Times New Roman" w:eastAsia="宋体" w:cs="Times New Roman"/>
          <w:b/>
          <w:sz w:val="32"/>
        </w:rPr>
        <w:br w:type="page"/>
      </w:r>
    </w:p>
    <w:p w14:paraId="65227D65">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一、投标响应函</w:t>
      </w:r>
    </w:p>
    <w:p w14:paraId="7956C78F">
      <w:pPr>
        <w:pStyle w:val="21"/>
        <w:ind w:firstLine="0" w:firstLineChars="0"/>
        <w:rPr>
          <w:rFonts w:hint="default"/>
        </w:rPr>
      </w:pPr>
      <w:r>
        <w:t>致湖州学院：</w:t>
      </w:r>
    </w:p>
    <w:p w14:paraId="36C0BE2F">
      <w:pPr>
        <w:pStyle w:val="21"/>
        <w:ind w:firstLine="480"/>
        <w:rPr>
          <w:rFonts w:hint="default"/>
        </w:rPr>
      </w:pPr>
      <w:r>
        <w:t>本人</w:t>
      </w:r>
      <w:r>
        <w:rPr>
          <w:u w:val="single"/>
        </w:rPr>
        <w:t xml:space="preserve">           </w:t>
      </w:r>
      <w:r>
        <w:t>（姓名），身份证号：</w:t>
      </w:r>
      <w:r>
        <w:rPr>
          <w:u w:val="single"/>
        </w:rPr>
        <w:t xml:space="preserve">                 </w:t>
      </w:r>
      <w:r>
        <w:t xml:space="preserve"> ，系 </w:t>
      </w:r>
      <w:r>
        <w:rPr>
          <w:u w:val="single"/>
        </w:rPr>
        <w:t xml:space="preserve">            </w:t>
      </w:r>
      <w:r>
        <w:t>（供应商名称）的法定代表人，现授权</w:t>
      </w:r>
      <w:r>
        <w:rPr>
          <w:u w:val="single"/>
        </w:rPr>
        <w:t xml:space="preserve">            </w:t>
      </w:r>
      <w:r>
        <w:t>（姓名），身份证号：</w:t>
      </w:r>
      <w:r>
        <w:rPr>
          <w:u w:val="single"/>
        </w:rPr>
        <w:t xml:space="preserve">                   </w:t>
      </w:r>
      <w:r>
        <w:t xml:space="preserve"> ，为授权委托人。以我方的名义参加编号：</w:t>
      </w:r>
      <w:r>
        <w:rPr>
          <w:u w:val="single"/>
        </w:rPr>
        <w:t xml:space="preserve">           </w:t>
      </w:r>
      <w:r>
        <w:t>，名称</w:t>
      </w:r>
      <w:r>
        <w:rPr>
          <w:u w:val="single"/>
        </w:rPr>
        <w:t xml:space="preserve">：                 </w:t>
      </w:r>
      <w:r>
        <w:t xml:space="preserve"> ，的投标活动，并进行投标。为此：</w:t>
      </w:r>
    </w:p>
    <w:p w14:paraId="6DBB2852">
      <w:pPr>
        <w:pStyle w:val="21"/>
        <w:ind w:firstLine="480"/>
        <w:rPr>
          <w:rFonts w:hint="default"/>
        </w:rPr>
      </w:pPr>
      <w:r>
        <w:t>1、总投标价格详见开标一览表。</w:t>
      </w:r>
    </w:p>
    <w:p w14:paraId="691F4E73">
      <w:pPr>
        <w:pStyle w:val="21"/>
        <w:ind w:firstLine="480"/>
        <w:rPr>
          <w:rFonts w:hint="default"/>
        </w:rPr>
      </w:pPr>
      <w:r>
        <w:t>2、我单位保证遵守招标文件中的有关规定，并保证忠实地执行甲乙双方所签的经济合同，并承担合同规定的责任义务。</w:t>
      </w:r>
    </w:p>
    <w:p w14:paraId="202539A3">
      <w:pPr>
        <w:pStyle w:val="21"/>
        <w:ind w:firstLine="480"/>
        <w:rPr>
          <w:rFonts w:hint="default"/>
        </w:rPr>
      </w:pPr>
      <w:r>
        <w:t>3、我单位同意按采购人要求提供任何与本项投标有关的数据、情况和资料。</w:t>
      </w:r>
    </w:p>
    <w:p w14:paraId="1848CA5F">
      <w:pPr>
        <w:pStyle w:val="21"/>
        <w:ind w:firstLine="480"/>
        <w:rPr>
          <w:rFonts w:hint="default"/>
        </w:rPr>
      </w:pPr>
      <w:r>
        <w:t>4、我单位保证按本项目招标文件中规定的条款参与投标活动，并为自身的行为承担相应的责任。我单位出现违反国家法律法规和本项目招标文件规定的行为，愿意接受相应的处罚并承担由此引起的赔偿责任。</w:t>
      </w:r>
    </w:p>
    <w:p w14:paraId="68292669">
      <w:pPr>
        <w:pStyle w:val="21"/>
        <w:ind w:firstLine="480"/>
        <w:rPr>
          <w:rFonts w:hint="default"/>
        </w:rPr>
      </w:pPr>
      <w:r>
        <w:t>5、本投标自开标之日起90日内有效。</w:t>
      </w:r>
    </w:p>
    <w:p w14:paraId="4A52A3FC">
      <w:pPr>
        <w:pStyle w:val="21"/>
        <w:ind w:firstLine="480"/>
        <w:rPr>
          <w:rFonts w:hint="default"/>
        </w:rPr>
      </w:pPr>
      <w:r>
        <w:t>6、我单位已经详细审查全部招标文件，包括修改文件（如有的话）以及全部参考资料和有关附件，我们完全理解并同意放弃对这方面有不明及误解的权力。</w:t>
      </w:r>
    </w:p>
    <w:p w14:paraId="243D8ED1">
      <w:pPr>
        <w:pStyle w:val="21"/>
        <w:ind w:firstLine="480"/>
        <w:rPr>
          <w:rFonts w:hint="default"/>
        </w:rPr>
      </w:pPr>
      <w:r>
        <w:t>7、在规定的开标时间后（在投标有效期内），如果我们撤回投标，我们按照采购文件约定向利益受损方承担赔偿责任。</w:t>
      </w:r>
    </w:p>
    <w:p w14:paraId="1E07079F">
      <w:pPr>
        <w:pStyle w:val="21"/>
        <w:ind w:firstLine="480"/>
        <w:rPr>
          <w:rFonts w:hint="default"/>
        </w:rPr>
      </w:pPr>
      <w:r>
        <w:t>8、我单位完全理解贵方不一定要接受最低价的投标或收到的任何投标。</w:t>
      </w:r>
    </w:p>
    <w:p w14:paraId="3641DDCC">
      <w:pPr>
        <w:pStyle w:val="21"/>
        <w:ind w:firstLine="480"/>
        <w:rPr>
          <w:rFonts w:hint="default"/>
        </w:rPr>
      </w:pPr>
    </w:p>
    <w:p w14:paraId="57373529">
      <w:pPr>
        <w:pStyle w:val="21"/>
        <w:ind w:firstLine="480"/>
        <w:rPr>
          <w:rFonts w:hint="default"/>
        </w:rPr>
      </w:pPr>
      <w:r>
        <w:t>法定代表人或授权委托人签字：</w:t>
      </w:r>
    </w:p>
    <w:p w14:paraId="7F9B7D5F">
      <w:pPr>
        <w:pStyle w:val="21"/>
        <w:ind w:firstLine="480"/>
        <w:rPr>
          <w:rFonts w:hint="default"/>
        </w:rPr>
      </w:pPr>
    </w:p>
    <w:p w14:paraId="4F7BC7DB">
      <w:pPr>
        <w:pStyle w:val="21"/>
        <w:ind w:firstLine="480"/>
        <w:rPr>
          <w:rFonts w:hint="default"/>
        </w:rPr>
      </w:pPr>
      <w:r>
        <w:t>供应商全称公章：</w:t>
      </w:r>
    </w:p>
    <w:p w14:paraId="6BC878FC">
      <w:pPr>
        <w:pStyle w:val="21"/>
        <w:ind w:firstLine="480"/>
        <w:rPr>
          <w:rFonts w:hint="default"/>
        </w:rPr>
      </w:pPr>
    </w:p>
    <w:p w14:paraId="716E0096">
      <w:pPr>
        <w:pStyle w:val="21"/>
        <w:ind w:firstLine="480"/>
        <w:rPr>
          <w:rFonts w:hint="default"/>
        </w:rPr>
      </w:pPr>
      <w:r>
        <w:rPr>
          <w:lang w:eastAsia="zh-Hans"/>
        </w:rPr>
        <w:t>日期：    年  月  日</w:t>
      </w:r>
    </w:p>
    <w:p w14:paraId="1A97646E">
      <w:pPr>
        <w:pStyle w:val="21"/>
        <w:ind w:firstLine="480"/>
        <w:rPr>
          <w:rFonts w:hint="default"/>
        </w:rPr>
      </w:pPr>
      <w:r>
        <w:br w:type="page"/>
      </w:r>
    </w:p>
    <w:p w14:paraId="311C5747">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二、报价一览表</w:t>
      </w:r>
    </w:p>
    <w:p w14:paraId="536170FB">
      <w:pPr>
        <w:spacing w:after="120"/>
        <w:ind w:left="420" w:leftChars="200" w:firstLine="420"/>
        <w:rPr>
          <w:rFonts w:ascii="Times New Roman" w:hAnsi="Times New Roman" w:eastAsia="宋体" w:cs="Times New Roman"/>
        </w:rPr>
      </w:pPr>
    </w:p>
    <w:p w14:paraId="63B0DF3B">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rPr>
        <w:t>项目名称：</w:t>
      </w:r>
    </w:p>
    <w:p w14:paraId="319C2BE3">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rPr>
        <w:t>项目编号：</w:t>
      </w:r>
    </w:p>
    <w:tbl>
      <w:tblPr>
        <w:tblStyle w:val="1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3"/>
        <w:gridCol w:w="2840"/>
        <w:gridCol w:w="2842"/>
      </w:tblGrid>
      <w:tr w14:paraId="36602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862" w:type="pct"/>
            <w:vAlign w:val="center"/>
          </w:tcPr>
          <w:p w14:paraId="362A3F89">
            <w:pPr>
              <w:pStyle w:val="7"/>
              <w:spacing w:after="0"/>
              <w:jc w:val="center"/>
              <w:rPr>
                <w:rFonts w:hint="eastAsia" w:ascii="宋体" w:hAnsi="宋体" w:eastAsia="宋体" w:cs="宋体"/>
                <w:sz w:val="24"/>
                <w:szCs w:val="24"/>
              </w:rPr>
            </w:pPr>
            <w:r>
              <w:rPr>
                <w:rFonts w:hint="eastAsia" w:ascii="宋体" w:hAnsi="宋体" w:eastAsia="宋体" w:cs="宋体"/>
                <w:sz w:val="24"/>
                <w:szCs w:val="24"/>
              </w:rPr>
              <w:t>项目名称</w:t>
            </w:r>
          </w:p>
        </w:tc>
        <w:tc>
          <w:tcPr>
            <w:tcW w:w="1568" w:type="pct"/>
            <w:vAlign w:val="center"/>
          </w:tcPr>
          <w:p w14:paraId="088CF962">
            <w:pPr>
              <w:pStyle w:val="7"/>
              <w:spacing w:after="0"/>
              <w:jc w:val="center"/>
              <w:rPr>
                <w:rFonts w:hint="eastAsia" w:ascii="宋体" w:hAnsi="宋体" w:eastAsia="宋体" w:cs="宋体"/>
                <w:sz w:val="24"/>
                <w:szCs w:val="24"/>
              </w:rPr>
            </w:pPr>
            <w:r>
              <w:rPr>
                <w:rFonts w:hint="eastAsia" w:ascii="宋体" w:hAnsi="宋体" w:eastAsia="宋体" w:cs="宋体"/>
                <w:sz w:val="24"/>
                <w:szCs w:val="24"/>
              </w:rPr>
              <w:t>单价（元）</w:t>
            </w:r>
          </w:p>
        </w:tc>
        <w:tc>
          <w:tcPr>
            <w:tcW w:w="1569" w:type="pct"/>
            <w:vAlign w:val="center"/>
          </w:tcPr>
          <w:p w14:paraId="45D868AE">
            <w:pPr>
              <w:pStyle w:val="7"/>
              <w:spacing w:after="0"/>
              <w:jc w:val="center"/>
              <w:rPr>
                <w:rFonts w:hint="eastAsia" w:ascii="宋体" w:hAnsi="宋体" w:eastAsia="宋体" w:cs="宋体"/>
                <w:sz w:val="24"/>
                <w:szCs w:val="24"/>
              </w:rPr>
            </w:pPr>
            <w:r>
              <w:rPr>
                <w:rFonts w:hint="eastAsia" w:ascii="宋体" w:hAnsi="宋体" w:eastAsia="宋体" w:cs="宋体"/>
                <w:sz w:val="24"/>
                <w:szCs w:val="24"/>
              </w:rPr>
              <w:t>总价（元）</w:t>
            </w:r>
          </w:p>
        </w:tc>
      </w:tr>
      <w:tr w14:paraId="39921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862" w:type="pct"/>
            <w:vAlign w:val="center"/>
          </w:tcPr>
          <w:p w14:paraId="62B8DCE1">
            <w:pPr>
              <w:pStyle w:val="7"/>
              <w:spacing w:after="0"/>
              <w:rPr>
                <w:rFonts w:hint="eastAsia" w:ascii="宋体" w:hAnsi="宋体" w:eastAsia="宋体" w:cs="宋体"/>
                <w:sz w:val="24"/>
                <w:szCs w:val="24"/>
              </w:rPr>
            </w:pPr>
          </w:p>
        </w:tc>
        <w:tc>
          <w:tcPr>
            <w:tcW w:w="1568" w:type="pct"/>
            <w:vAlign w:val="center"/>
          </w:tcPr>
          <w:p w14:paraId="7F031738">
            <w:pPr>
              <w:pStyle w:val="7"/>
              <w:spacing w:after="0"/>
              <w:jc w:val="left"/>
              <w:rPr>
                <w:rFonts w:hint="eastAsia" w:ascii="宋体" w:hAnsi="宋体" w:eastAsia="宋体" w:cs="宋体"/>
                <w:sz w:val="24"/>
                <w:szCs w:val="24"/>
              </w:rPr>
            </w:pPr>
            <w:r>
              <w:rPr>
                <w:rFonts w:hint="eastAsia" w:ascii="宋体" w:hAnsi="宋体" w:eastAsia="宋体" w:cs="宋体"/>
                <w:sz w:val="24"/>
                <w:szCs w:val="24"/>
              </w:rPr>
              <w:t xml:space="preserve">小写：       </w:t>
            </w:r>
          </w:p>
          <w:p w14:paraId="419F7D79">
            <w:pPr>
              <w:pStyle w:val="7"/>
              <w:spacing w:after="0"/>
              <w:jc w:val="left"/>
              <w:rPr>
                <w:rFonts w:hint="eastAsia" w:ascii="宋体" w:hAnsi="宋体" w:eastAsia="宋体" w:cs="宋体"/>
                <w:sz w:val="24"/>
                <w:szCs w:val="24"/>
              </w:rPr>
            </w:pPr>
            <w:r>
              <w:rPr>
                <w:rFonts w:hint="eastAsia" w:ascii="宋体" w:hAnsi="宋体" w:eastAsia="宋体" w:cs="宋体"/>
                <w:sz w:val="24"/>
                <w:szCs w:val="24"/>
              </w:rPr>
              <w:t xml:space="preserve">大写：       </w:t>
            </w:r>
          </w:p>
        </w:tc>
        <w:tc>
          <w:tcPr>
            <w:tcW w:w="1569" w:type="pct"/>
            <w:vAlign w:val="center"/>
          </w:tcPr>
          <w:p w14:paraId="1B4430FC">
            <w:pPr>
              <w:pStyle w:val="7"/>
              <w:spacing w:after="0"/>
              <w:jc w:val="left"/>
              <w:rPr>
                <w:rFonts w:hint="eastAsia" w:ascii="宋体" w:hAnsi="宋体" w:eastAsia="宋体" w:cs="宋体"/>
                <w:sz w:val="24"/>
                <w:szCs w:val="24"/>
              </w:rPr>
            </w:pPr>
            <w:r>
              <w:rPr>
                <w:rFonts w:hint="eastAsia" w:ascii="宋体" w:hAnsi="宋体" w:eastAsia="宋体" w:cs="宋体"/>
                <w:sz w:val="24"/>
                <w:szCs w:val="24"/>
              </w:rPr>
              <w:t xml:space="preserve">小写：       </w:t>
            </w:r>
          </w:p>
          <w:p w14:paraId="27A78DF6">
            <w:pPr>
              <w:pStyle w:val="22"/>
              <w:rPr>
                <w:rFonts w:hint="eastAsia" w:ascii="宋体" w:hAnsi="宋体" w:eastAsia="宋体" w:cs="宋体"/>
                <w:sz w:val="24"/>
                <w:szCs w:val="24"/>
              </w:rPr>
            </w:pPr>
            <w:r>
              <w:rPr>
                <w:rFonts w:hint="eastAsia" w:ascii="宋体" w:hAnsi="宋体" w:eastAsia="宋体" w:cs="宋体"/>
                <w:sz w:val="24"/>
                <w:szCs w:val="24"/>
              </w:rPr>
              <w:t xml:space="preserve">大写：       </w:t>
            </w:r>
          </w:p>
        </w:tc>
      </w:tr>
      <w:tr w14:paraId="2BDD8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862" w:type="pct"/>
            <w:vAlign w:val="center"/>
          </w:tcPr>
          <w:p w14:paraId="73486C0A">
            <w:pPr>
              <w:pStyle w:val="7"/>
              <w:spacing w:after="0"/>
              <w:rPr>
                <w:rFonts w:hint="eastAsia" w:ascii="宋体" w:hAnsi="宋体" w:eastAsia="宋体" w:cs="宋体"/>
                <w:sz w:val="24"/>
                <w:szCs w:val="24"/>
              </w:rPr>
            </w:pPr>
          </w:p>
        </w:tc>
        <w:tc>
          <w:tcPr>
            <w:tcW w:w="1568" w:type="pct"/>
            <w:vAlign w:val="center"/>
          </w:tcPr>
          <w:p w14:paraId="4CDAA32D">
            <w:pPr>
              <w:pStyle w:val="7"/>
              <w:spacing w:after="0"/>
              <w:jc w:val="left"/>
              <w:rPr>
                <w:rFonts w:hint="eastAsia" w:ascii="宋体" w:hAnsi="宋体" w:eastAsia="宋体" w:cs="宋体"/>
                <w:sz w:val="24"/>
                <w:szCs w:val="24"/>
              </w:rPr>
            </w:pPr>
          </w:p>
        </w:tc>
        <w:tc>
          <w:tcPr>
            <w:tcW w:w="1569" w:type="pct"/>
            <w:vAlign w:val="center"/>
          </w:tcPr>
          <w:p w14:paraId="52D46F6B">
            <w:pPr>
              <w:pStyle w:val="22"/>
              <w:rPr>
                <w:rFonts w:hint="eastAsia" w:ascii="宋体" w:hAnsi="宋体" w:eastAsia="宋体" w:cs="宋体"/>
                <w:sz w:val="24"/>
                <w:szCs w:val="24"/>
              </w:rPr>
            </w:pPr>
          </w:p>
        </w:tc>
      </w:tr>
      <w:tr w14:paraId="25B7B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862" w:type="pct"/>
            <w:vAlign w:val="center"/>
          </w:tcPr>
          <w:p w14:paraId="56948636">
            <w:pPr>
              <w:pStyle w:val="7"/>
              <w:spacing w:after="0"/>
              <w:rPr>
                <w:rFonts w:hint="eastAsia" w:ascii="宋体" w:hAnsi="宋体" w:eastAsia="宋体" w:cs="宋体"/>
                <w:sz w:val="24"/>
                <w:szCs w:val="24"/>
              </w:rPr>
            </w:pPr>
          </w:p>
        </w:tc>
        <w:tc>
          <w:tcPr>
            <w:tcW w:w="1568" w:type="pct"/>
            <w:vAlign w:val="center"/>
          </w:tcPr>
          <w:p w14:paraId="2E0FFEA7">
            <w:pPr>
              <w:pStyle w:val="7"/>
              <w:spacing w:after="0"/>
              <w:jc w:val="left"/>
              <w:rPr>
                <w:rFonts w:hint="eastAsia" w:ascii="宋体" w:hAnsi="宋体" w:eastAsia="宋体" w:cs="宋体"/>
                <w:sz w:val="24"/>
                <w:szCs w:val="24"/>
              </w:rPr>
            </w:pPr>
          </w:p>
        </w:tc>
        <w:tc>
          <w:tcPr>
            <w:tcW w:w="1569" w:type="pct"/>
            <w:vAlign w:val="center"/>
          </w:tcPr>
          <w:p w14:paraId="3388C620">
            <w:pPr>
              <w:pStyle w:val="22"/>
              <w:rPr>
                <w:rFonts w:hint="eastAsia" w:ascii="宋体" w:hAnsi="宋体" w:eastAsia="宋体" w:cs="宋体"/>
                <w:sz w:val="24"/>
                <w:szCs w:val="24"/>
              </w:rPr>
            </w:pPr>
          </w:p>
        </w:tc>
      </w:tr>
    </w:tbl>
    <w:p w14:paraId="66B5989A">
      <w:pPr>
        <w:spacing w:after="120"/>
        <w:rPr>
          <w:rFonts w:ascii="Times New Roman" w:hAnsi="Times New Roman" w:eastAsia="宋体" w:cs="Times New Roman"/>
        </w:rPr>
      </w:pPr>
    </w:p>
    <w:p w14:paraId="4E975C83">
      <w:pPr>
        <w:pStyle w:val="7"/>
        <w:numPr>
          <w:ilvl w:val="0"/>
          <w:numId w:val="19"/>
        </w:numPr>
        <w:spacing w:line="360" w:lineRule="auto"/>
        <w:jc w:val="left"/>
        <w:rPr>
          <w:rFonts w:hint="eastAsia" w:cs="Times New Roman"/>
          <w:sz w:val="24"/>
          <w:szCs w:val="22"/>
        </w:rPr>
      </w:pPr>
      <w:r>
        <w:rPr>
          <w:rFonts w:hint="eastAsia" w:cs="Times New Roman"/>
          <w:sz w:val="24"/>
          <w:szCs w:val="22"/>
        </w:rPr>
        <w:t>报价一览表中的投标总价，最高限价</w:t>
      </w:r>
      <w:r>
        <w:rPr>
          <w:rFonts w:hint="eastAsia" w:cs="Times New Roman"/>
          <w:sz w:val="24"/>
          <w:szCs w:val="22"/>
          <w:highlight w:val="yellow"/>
          <w:lang w:val="en-US" w:eastAsia="zh-CN"/>
        </w:rPr>
        <w:t>122000.00</w:t>
      </w:r>
      <w:r>
        <w:rPr>
          <w:rFonts w:hint="eastAsia" w:cs="Times New Roman"/>
          <w:sz w:val="24"/>
          <w:szCs w:val="22"/>
        </w:rPr>
        <w:t>元，所有报价</w:t>
      </w:r>
      <w:r>
        <w:rPr>
          <w:rFonts w:cs="Times New Roman"/>
          <w:sz w:val="24"/>
          <w:szCs w:val="22"/>
        </w:rPr>
        <w:t>保留小数点后两位</w:t>
      </w:r>
      <w:r>
        <w:rPr>
          <w:rFonts w:hint="eastAsia" w:cs="Times New Roman"/>
          <w:sz w:val="24"/>
          <w:szCs w:val="22"/>
        </w:rPr>
        <w:t>。报价大写与小写不一致的，</w:t>
      </w:r>
      <w:r>
        <w:rPr>
          <w:rFonts w:hint="eastAsia" w:cs="Times New Roman"/>
          <w:b/>
          <w:bCs/>
          <w:sz w:val="24"/>
          <w:szCs w:val="22"/>
        </w:rPr>
        <w:t>以大写为准</w:t>
      </w:r>
      <w:r>
        <w:rPr>
          <w:rFonts w:hint="eastAsia" w:cs="Times New Roman"/>
          <w:sz w:val="24"/>
          <w:szCs w:val="22"/>
        </w:rPr>
        <w:t>；总价金额与按单价汇总金额不一致的，以单价金额计算结果为准。</w:t>
      </w:r>
    </w:p>
    <w:p w14:paraId="0E89F83B">
      <w:pPr>
        <w:pStyle w:val="7"/>
        <w:numPr>
          <w:ilvl w:val="0"/>
          <w:numId w:val="19"/>
        </w:numPr>
        <w:spacing w:line="360" w:lineRule="auto"/>
        <w:jc w:val="left"/>
        <w:rPr>
          <w:rFonts w:hint="eastAsia" w:cs="Times New Roman"/>
          <w:sz w:val="24"/>
          <w:szCs w:val="22"/>
        </w:rPr>
      </w:pPr>
      <w:r>
        <w:rPr>
          <w:rFonts w:hint="eastAsia" w:cs="Times New Roman"/>
          <w:sz w:val="24"/>
          <w:szCs w:val="22"/>
        </w:rPr>
        <w:t>报价一览表中的投标价格应包括但不限于投标人各项成本支出、合理的利润、应交纳的税金、完成合同所需的工作开支、政策性文件规定及合同包含的所有风险、责任等完成本项目的所有费用，投标人应根据上述因素自行考虑含入投标报价。</w:t>
      </w:r>
    </w:p>
    <w:p w14:paraId="2202FC8D">
      <w:pPr>
        <w:pStyle w:val="7"/>
        <w:numPr>
          <w:ilvl w:val="0"/>
          <w:numId w:val="19"/>
        </w:numPr>
        <w:spacing w:line="360" w:lineRule="auto"/>
        <w:jc w:val="left"/>
        <w:rPr>
          <w:rFonts w:hint="eastAsia" w:cs="Times New Roman"/>
          <w:sz w:val="24"/>
          <w:szCs w:val="22"/>
        </w:rPr>
      </w:pPr>
      <w:r>
        <w:rPr>
          <w:rFonts w:hint="eastAsia" w:cs="Times New Roman"/>
          <w:sz w:val="24"/>
          <w:szCs w:val="22"/>
        </w:rPr>
        <w:t>报价一经涂改，应在涂改处加盖供应商公章并由法定代表人或授权委托人签字，否则其投标作无效处理。</w:t>
      </w:r>
    </w:p>
    <w:p w14:paraId="5815B379">
      <w:pPr>
        <w:pStyle w:val="7"/>
        <w:jc w:val="left"/>
        <w:rPr>
          <w:rFonts w:ascii="Times New Roman" w:hAnsi="Times New Roman" w:eastAsia="宋体" w:cs="Times New Roman"/>
          <w:sz w:val="24"/>
        </w:rPr>
      </w:pPr>
    </w:p>
    <w:p w14:paraId="6E23FF10">
      <w:pPr>
        <w:rPr>
          <w:rFonts w:ascii="Times New Roman" w:hAnsi="Times New Roman" w:eastAsia="宋体" w:cs="Times New Roman"/>
          <w:sz w:val="24"/>
        </w:rPr>
      </w:pPr>
      <w:r>
        <w:rPr>
          <w:rFonts w:hint="eastAsia" w:ascii="Times New Roman" w:hAnsi="Times New Roman" w:eastAsia="宋体" w:cs="Times New Roman"/>
          <w:sz w:val="24"/>
        </w:rPr>
        <w:t>法定代表人或授权委托人签字：</w:t>
      </w:r>
    </w:p>
    <w:p w14:paraId="244AFEDD">
      <w:pPr>
        <w:rPr>
          <w:rFonts w:ascii="Times New Roman" w:hAnsi="Times New Roman" w:eastAsia="宋体" w:cs="Times New Roman"/>
          <w:sz w:val="24"/>
        </w:rPr>
      </w:pPr>
    </w:p>
    <w:p w14:paraId="28B949F5">
      <w:pPr>
        <w:pStyle w:val="13"/>
        <w:ind w:firstLine="0" w:firstLineChars="0"/>
      </w:pPr>
    </w:p>
    <w:p w14:paraId="245C73C5">
      <w:pPr>
        <w:rPr>
          <w:rFonts w:ascii="Times New Roman" w:hAnsi="Times New Roman" w:eastAsia="宋体" w:cs="Times New Roman"/>
          <w:sz w:val="24"/>
        </w:rPr>
      </w:pPr>
      <w:r>
        <w:rPr>
          <w:rFonts w:hint="eastAsia" w:ascii="Times New Roman" w:hAnsi="Times New Roman" w:eastAsia="宋体" w:cs="Times New Roman"/>
          <w:sz w:val="24"/>
        </w:rPr>
        <w:t>供应商全称公章：</w:t>
      </w:r>
    </w:p>
    <w:p w14:paraId="2E2C4FA6">
      <w:pPr>
        <w:pStyle w:val="13"/>
        <w:ind w:firstLine="0" w:firstLineChars="0"/>
      </w:pPr>
    </w:p>
    <w:p w14:paraId="11B9E5F5">
      <w:pPr>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日期</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lang w:eastAsia="zh-Hans"/>
        </w:rPr>
        <w:t>年</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月</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日</w:t>
      </w:r>
    </w:p>
    <w:p w14:paraId="0DE05378">
      <w:pPr>
        <w:pStyle w:val="21"/>
        <w:ind w:firstLine="0" w:firstLineChars="0"/>
        <w:rPr>
          <w:rFonts w:ascii="仿宋" w:hAnsi="仿宋" w:eastAsia="仿宋" w:cs="仿宋"/>
          <w:b/>
          <w:sz w:val="30"/>
          <w:szCs w:val="30"/>
        </w:rPr>
      </w:pPr>
    </w:p>
    <w:p w14:paraId="4CF18589">
      <w:pPr>
        <w:pStyle w:val="21"/>
        <w:ind w:firstLine="0" w:firstLineChars="0"/>
        <w:rPr>
          <w:rFonts w:ascii="仿宋" w:hAnsi="仿宋" w:eastAsia="仿宋" w:cs="仿宋"/>
          <w:b/>
          <w:sz w:val="30"/>
          <w:szCs w:val="30"/>
        </w:rPr>
      </w:pPr>
    </w:p>
    <w:p w14:paraId="49B89AF5">
      <w:pPr>
        <w:pStyle w:val="21"/>
        <w:ind w:firstLine="0" w:firstLineChars="0"/>
        <w:rPr>
          <w:rFonts w:ascii="仿宋" w:hAnsi="仿宋" w:eastAsia="仿宋" w:cs="仿宋"/>
          <w:b/>
          <w:sz w:val="30"/>
          <w:szCs w:val="30"/>
        </w:rPr>
      </w:pPr>
    </w:p>
    <w:p w14:paraId="64D16CE6">
      <w:pPr>
        <w:pStyle w:val="21"/>
        <w:ind w:firstLine="0" w:firstLineChars="0"/>
        <w:rPr>
          <w:rFonts w:ascii="仿宋" w:hAnsi="仿宋" w:eastAsia="仿宋" w:cs="仿宋"/>
          <w:b/>
          <w:sz w:val="30"/>
          <w:szCs w:val="30"/>
        </w:rPr>
      </w:pPr>
    </w:p>
    <w:p w14:paraId="41617B10">
      <w:pPr>
        <w:pStyle w:val="21"/>
        <w:ind w:firstLine="0" w:firstLineChars="0"/>
        <w:rPr>
          <w:rFonts w:ascii="仿宋" w:hAnsi="仿宋" w:eastAsia="仿宋" w:cs="仿宋"/>
          <w:b/>
          <w:sz w:val="30"/>
          <w:szCs w:val="30"/>
        </w:rPr>
      </w:pPr>
    </w:p>
    <w:p w14:paraId="37862F47">
      <w:pPr>
        <w:pStyle w:val="21"/>
        <w:ind w:firstLine="0" w:firstLineChars="0"/>
        <w:outlineLvl w:val="2"/>
        <w:rPr>
          <w:rFonts w:ascii="仿宋" w:hAnsi="仿宋" w:eastAsia="仿宋" w:cs="仿宋"/>
          <w:b/>
          <w:sz w:val="30"/>
          <w:szCs w:val="30"/>
        </w:rPr>
      </w:pPr>
      <w:r>
        <w:rPr>
          <w:rFonts w:ascii="仿宋" w:hAnsi="仿宋" w:eastAsia="仿宋" w:cs="仿宋"/>
          <w:b/>
          <w:sz w:val="30"/>
          <w:szCs w:val="30"/>
        </w:rPr>
        <w:t>三、其他供应商认为有需要提交的资料</w:t>
      </w:r>
    </w:p>
    <w:p w14:paraId="103646C8"/>
    <w:p w14:paraId="23E4EFD8">
      <w:pPr>
        <w:spacing w:line="360" w:lineRule="auto"/>
        <w:rPr>
          <w:rFonts w:hint="eastAsia" w:ascii="仿宋" w:hAnsi="仿宋" w:eastAsia="仿宋" w:cs="仿宋"/>
          <w:b/>
          <w:sz w:val="44"/>
          <w:szCs w:val="44"/>
        </w:rPr>
      </w:pPr>
    </w:p>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1F452">
    <w:pPr>
      <w:pStyle w:val="11"/>
      <w:tabs>
        <w:tab w:val="center" w:pos="4422"/>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4855F">
    <w:pPr>
      <w:pStyle w:val="11"/>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99BC8E">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799BC8E">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A7618">
    <w:pPr>
      <w:pStyle w:val="12"/>
      <w:jc w:val="left"/>
    </w:pPr>
    <w:r>
      <w:rPr>
        <w:rFonts w:hint="eastAsia" w:ascii="仿宋" w:hAnsi="仿宋" w:eastAsia="仿宋" w:cs="仿宋"/>
        <w:sz w:val="22"/>
        <w:lang w:eastAsia="zh-CN"/>
      </w:rPr>
      <w:t>2025党委宣传部舆情采购项目</w:t>
    </w:r>
    <w:r>
      <w:rPr>
        <w:rFonts w:hint="eastAsia" w:ascii="仿宋" w:hAnsi="仿宋" w:eastAsia="仿宋" w:cs="仿宋"/>
        <w:sz w:val="22"/>
      </w:rPr>
      <w:t xml:space="preserve">               </w:t>
    </w:r>
    <w:r>
      <w:rPr>
        <w:rFonts w:hint="eastAsia" w:ascii="仿宋" w:hAnsi="仿宋" w:eastAsia="仿宋" w:cs="仿宋"/>
        <w:bCs/>
        <w:sz w:val="22"/>
      </w:rPr>
      <w:t xml:space="preserve">             </w:t>
    </w:r>
    <w:r>
      <w:rPr>
        <w:rFonts w:hint="eastAsia" w:ascii="仿宋" w:hAnsi="仿宋" w:eastAsia="仿宋" w:cs="仿宋"/>
        <w:bCs/>
        <w:sz w:val="22"/>
        <w:lang w:val="en-US" w:eastAsia="zh-CN"/>
      </w:rPr>
      <w:t xml:space="preserve">                  </w:t>
    </w:r>
    <w:r>
      <w:rPr>
        <w:rFonts w:hint="eastAsia" w:ascii="仿宋" w:hAnsi="仿宋" w:eastAsia="仿宋" w:cs="仿宋"/>
        <w:sz w:val="22"/>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E1F77D"/>
    <w:multiLevelType w:val="singleLevel"/>
    <w:tmpl w:val="96E1F77D"/>
    <w:lvl w:ilvl="0" w:tentative="0">
      <w:start w:val="1"/>
      <w:numFmt w:val="decimal"/>
      <w:lvlText w:val="%1."/>
      <w:lvlJc w:val="left"/>
      <w:pPr>
        <w:ind w:left="425" w:hanging="425"/>
      </w:pPr>
      <w:rPr>
        <w:rFonts w:hint="default"/>
      </w:rPr>
    </w:lvl>
  </w:abstractNum>
  <w:abstractNum w:abstractNumId="1">
    <w:nsid w:val="9AA96D22"/>
    <w:multiLevelType w:val="singleLevel"/>
    <w:tmpl w:val="9AA96D22"/>
    <w:lvl w:ilvl="0" w:tentative="0">
      <w:start w:val="1"/>
      <w:numFmt w:val="decimal"/>
      <w:lvlText w:val="%1."/>
      <w:lvlJc w:val="left"/>
      <w:pPr>
        <w:ind w:left="845" w:hanging="425"/>
      </w:pPr>
      <w:rPr>
        <w:rFonts w:hint="default"/>
      </w:rPr>
    </w:lvl>
  </w:abstractNum>
  <w:abstractNum w:abstractNumId="2">
    <w:nsid w:val="C95BBD8C"/>
    <w:multiLevelType w:val="singleLevel"/>
    <w:tmpl w:val="C95BBD8C"/>
    <w:lvl w:ilvl="0" w:tentative="0">
      <w:start w:val="1"/>
      <w:numFmt w:val="decimal"/>
      <w:lvlText w:val="%1."/>
      <w:lvlJc w:val="left"/>
      <w:pPr>
        <w:ind w:left="845" w:hanging="425"/>
      </w:pPr>
      <w:rPr>
        <w:rFonts w:hint="default"/>
      </w:rPr>
    </w:lvl>
  </w:abstractNum>
  <w:abstractNum w:abstractNumId="3">
    <w:nsid w:val="D4A667CB"/>
    <w:multiLevelType w:val="singleLevel"/>
    <w:tmpl w:val="D4A667CB"/>
    <w:lvl w:ilvl="0" w:tentative="0">
      <w:start w:val="1"/>
      <w:numFmt w:val="decimal"/>
      <w:lvlText w:val="%1."/>
      <w:lvlJc w:val="left"/>
      <w:pPr>
        <w:ind w:left="845" w:hanging="425"/>
      </w:pPr>
      <w:rPr>
        <w:rFonts w:hint="default"/>
      </w:rPr>
    </w:lvl>
  </w:abstractNum>
  <w:abstractNum w:abstractNumId="4">
    <w:nsid w:val="D6B10AF7"/>
    <w:multiLevelType w:val="singleLevel"/>
    <w:tmpl w:val="D6B10AF7"/>
    <w:lvl w:ilvl="0" w:tentative="0">
      <w:start w:val="1"/>
      <w:numFmt w:val="decimal"/>
      <w:suff w:val="nothing"/>
      <w:lvlText w:val="%1、"/>
      <w:lvlJc w:val="left"/>
    </w:lvl>
  </w:abstractNum>
  <w:abstractNum w:abstractNumId="5">
    <w:nsid w:val="DE1D8284"/>
    <w:multiLevelType w:val="singleLevel"/>
    <w:tmpl w:val="DE1D8284"/>
    <w:lvl w:ilvl="0" w:tentative="0">
      <w:start w:val="1"/>
      <w:numFmt w:val="decimal"/>
      <w:lvlText w:val="(%1)"/>
      <w:lvlJc w:val="left"/>
      <w:pPr>
        <w:ind w:left="425" w:hanging="425"/>
      </w:pPr>
      <w:rPr>
        <w:rFonts w:hint="default"/>
      </w:rPr>
    </w:lvl>
  </w:abstractNum>
  <w:abstractNum w:abstractNumId="6">
    <w:nsid w:val="ED0D87DC"/>
    <w:multiLevelType w:val="singleLevel"/>
    <w:tmpl w:val="ED0D87DC"/>
    <w:lvl w:ilvl="0" w:tentative="0">
      <w:start w:val="1"/>
      <w:numFmt w:val="decimal"/>
      <w:lvlText w:val="(%1)"/>
      <w:lvlJc w:val="left"/>
      <w:pPr>
        <w:ind w:left="425" w:hanging="425"/>
      </w:pPr>
      <w:rPr>
        <w:rFonts w:hint="default"/>
      </w:rPr>
    </w:lvl>
  </w:abstractNum>
  <w:abstractNum w:abstractNumId="7">
    <w:nsid w:val="FB443D0D"/>
    <w:multiLevelType w:val="singleLevel"/>
    <w:tmpl w:val="FB443D0D"/>
    <w:lvl w:ilvl="0" w:tentative="0">
      <w:start w:val="1"/>
      <w:numFmt w:val="decimal"/>
      <w:lvlText w:val="(%1)"/>
      <w:lvlJc w:val="left"/>
      <w:pPr>
        <w:ind w:left="425" w:hanging="425"/>
      </w:pPr>
      <w:rPr>
        <w:rFonts w:hint="default"/>
      </w:rPr>
    </w:lvl>
  </w:abstractNum>
  <w:abstractNum w:abstractNumId="8">
    <w:nsid w:val="FD512869"/>
    <w:multiLevelType w:val="singleLevel"/>
    <w:tmpl w:val="FD512869"/>
    <w:lvl w:ilvl="0" w:tentative="0">
      <w:start w:val="1"/>
      <w:numFmt w:val="chineseCounting"/>
      <w:suff w:val="nothing"/>
      <w:lvlText w:val="%1、"/>
      <w:lvlJc w:val="left"/>
      <w:pPr>
        <w:ind w:left="0" w:firstLine="420"/>
      </w:pPr>
      <w:rPr>
        <w:rFonts w:hint="eastAsia"/>
      </w:rPr>
    </w:lvl>
  </w:abstractNum>
  <w:abstractNum w:abstractNumId="9">
    <w:nsid w:val="FF1B8E27"/>
    <w:multiLevelType w:val="singleLevel"/>
    <w:tmpl w:val="FF1B8E27"/>
    <w:lvl w:ilvl="0" w:tentative="0">
      <w:start w:val="1"/>
      <w:numFmt w:val="decimal"/>
      <w:lvlText w:val="(%1)"/>
      <w:lvlJc w:val="left"/>
      <w:pPr>
        <w:ind w:left="425" w:hanging="425"/>
      </w:pPr>
      <w:rPr>
        <w:rFonts w:hint="default"/>
      </w:rPr>
    </w:lvl>
  </w:abstractNum>
  <w:abstractNum w:abstractNumId="10">
    <w:nsid w:val="0F20CAB2"/>
    <w:multiLevelType w:val="singleLevel"/>
    <w:tmpl w:val="0F20CAB2"/>
    <w:lvl w:ilvl="0" w:tentative="0">
      <w:start w:val="1"/>
      <w:numFmt w:val="decimal"/>
      <w:lvlText w:val="(%1)"/>
      <w:lvlJc w:val="left"/>
      <w:pPr>
        <w:ind w:left="425" w:hanging="425"/>
      </w:pPr>
      <w:rPr>
        <w:rFonts w:hint="default"/>
      </w:rPr>
    </w:lvl>
  </w:abstractNum>
  <w:abstractNum w:abstractNumId="11">
    <w:nsid w:val="416BDFD8"/>
    <w:multiLevelType w:val="singleLevel"/>
    <w:tmpl w:val="416BDFD8"/>
    <w:lvl w:ilvl="0" w:tentative="0">
      <w:start w:val="1"/>
      <w:numFmt w:val="decimal"/>
      <w:lvlText w:val="%1."/>
      <w:lvlJc w:val="left"/>
      <w:pPr>
        <w:ind w:left="845" w:hanging="425"/>
      </w:pPr>
      <w:rPr>
        <w:rFonts w:hint="default"/>
      </w:rPr>
    </w:lvl>
  </w:abstractNum>
  <w:abstractNum w:abstractNumId="12">
    <w:nsid w:val="435568C5"/>
    <w:multiLevelType w:val="singleLevel"/>
    <w:tmpl w:val="435568C5"/>
    <w:lvl w:ilvl="0" w:tentative="0">
      <w:start w:val="1"/>
      <w:numFmt w:val="decimal"/>
      <w:lvlText w:val="(%1)"/>
      <w:lvlJc w:val="left"/>
      <w:pPr>
        <w:ind w:left="425" w:hanging="425"/>
      </w:pPr>
      <w:rPr>
        <w:rFonts w:hint="default"/>
      </w:rPr>
    </w:lvl>
  </w:abstractNum>
  <w:abstractNum w:abstractNumId="13">
    <w:nsid w:val="4EB283A1"/>
    <w:multiLevelType w:val="singleLevel"/>
    <w:tmpl w:val="4EB283A1"/>
    <w:lvl w:ilvl="0" w:tentative="0">
      <w:start w:val="1"/>
      <w:numFmt w:val="chineseCounting"/>
      <w:suff w:val="nothing"/>
      <w:lvlText w:val="%1、"/>
      <w:lvlJc w:val="left"/>
      <w:rPr>
        <w:rFonts w:hint="eastAsia"/>
      </w:rPr>
    </w:lvl>
  </w:abstractNum>
  <w:abstractNum w:abstractNumId="14">
    <w:nsid w:val="50A7A25F"/>
    <w:multiLevelType w:val="singleLevel"/>
    <w:tmpl w:val="50A7A25F"/>
    <w:lvl w:ilvl="0" w:tentative="0">
      <w:start w:val="1"/>
      <w:numFmt w:val="decimal"/>
      <w:lvlText w:val="%1."/>
      <w:lvlJc w:val="left"/>
      <w:pPr>
        <w:ind w:left="845" w:hanging="425"/>
      </w:pPr>
      <w:rPr>
        <w:rFonts w:hint="default"/>
      </w:rPr>
    </w:lvl>
  </w:abstractNum>
  <w:abstractNum w:abstractNumId="15">
    <w:nsid w:val="50DF415A"/>
    <w:multiLevelType w:val="multilevel"/>
    <w:tmpl w:val="50DF415A"/>
    <w:lvl w:ilvl="0" w:tentative="0">
      <w:start w:val="1"/>
      <w:numFmt w:val="decimal"/>
      <w:lvlText w:val="第%1章"/>
      <w:lvlJc w:val="left"/>
      <w:pPr>
        <w:tabs>
          <w:tab w:val="left" w:pos="432"/>
        </w:tabs>
        <w:ind w:left="432" w:hanging="432"/>
      </w:pPr>
      <w:rPr>
        <w:rFonts w:hint="eastAsia" w:ascii="宋体" w:hAnsi="宋体" w:eastAsia="宋体"/>
      </w:rPr>
    </w:lvl>
    <w:lvl w:ilvl="1" w:tentative="0">
      <w:start w:val="1"/>
      <w:numFmt w:val="decimal"/>
      <w:lvlText w:val="%1.%2"/>
      <w:lvlJc w:val="left"/>
      <w:pPr>
        <w:tabs>
          <w:tab w:val="left" w:pos="576"/>
        </w:tabs>
        <w:ind w:left="567" w:hanging="283"/>
      </w:pPr>
      <w:rPr>
        <w:rFonts w:hint="eastAsia" w:ascii="宋体" w:hAnsi="宋体" w:eastAsia="宋体"/>
      </w:rPr>
    </w:lvl>
    <w:lvl w:ilvl="2" w:tentative="0">
      <w:start w:val="1"/>
      <w:numFmt w:val="decimal"/>
      <w:lvlText w:val="%1.%2.%3"/>
      <w:lvlJc w:val="left"/>
      <w:pPr>
        <w:tabs>
          <w:tab w:val="left" w:pos="720"/>
        </w:tabs>
        <w:ind w:left="720" w:hanging="436"/>
      </w:pPr>
      <w:rPr>
        <w:rFonts w:hint="eastAsia" w:ascii="宋体" w:hAnsi="宋体" w:eastAsia="宋体"/>
      </w:rPr>
    </w:lvl>
    <w:lvl w:ilvl="3" w:tentative="0">
      <w:start w:val="1"/>
      <w:numFmt w:val="decimal"/>
      <w:lvlText w:val="%1.%2.%3.%4"/>
      <w:lvlJc w:val="left"/>
      <w:pPr>
        <w:tabs>
          <w:tab w:val="left" w:pos="864"/>
        </w:tabs>
        <w:ind w:left="864" w:hanging="864"/>
      </w:pPr>
      <w:rPr>
        <w:rFonts w:hint="eastAsia" w:ascii="宋体" w:hAnsi="宋体" w:eastAsia="宋体"/>
      </w:rPr>
    </w:lvl>
    <w:lvl w:ilvl="4" w:tentative="0">
      <w:start w:val="1"/>
      <w:numFmt w:val="decimal"/>
      <w:lvlText w:val="%1.%2.%3.%4.%5"/>
      <w:lvlJc w:val="left"/>
      <w:pPr>
        <w:tabs>
          <w:tab w:val="left" w:pos="1008"/>
        </w:tabs>
        <w:ind w:left="1008" w:hanging="1008"/>
      </w:pPr>
      <w:rPr>
        <w:rFonts w:hint="eastAsia" w:ascii="宋体" w:hAnsi="宋体" w:eastAsia="宋体"/>
      </w:rPr>
    </w:lvl>
    <w:lvl w:ilvl="5" w:tentative="0">
      <w:start w:val="1"/>
      <w:numFmt w:val="decimal"/>
      <w:lvlText w:val="%1.%2.%3.%4.%5.%6"/>
      <w:lvlJc w:val="left"/>
      <w:pPr>
        <w:tabs>
          <w:tab w:val="left" w:pos="1152"/>
        </w:tabs>
        <w:ind w:left="1152" w:hanging="1152"/>
      </w:pPr>
      <w:rPr>
        <w:rFonts w:hint="eastAsia" w:ascii="宋体" w:hAnsi="宋体" w:eastAsia="宋体"/>
      </w:rPr>
    </w:lvl>
    <w:lvl w:ilvl="6" w:tentative="0">
      <w:start w:val="1"/>
      <w:numFmt w:val="decimal"/>
      <w:lvlText w:val="%1.%2.%3.%4.%5.%6.%7"/>
      <w:lvlJc w:val="left"/>
      <w:pPr>
        <w:tabs>
          <w:tab w:val="left" w:pos="1296"/>
        </w:tabs>
        <w:ind w:left="1296" w:hanging="1296"/>
      </w:pPr>
      <w:rPr>
        <w:rFonts w:hint="eastAsia" w:ascii="宋体" w:hAnsi="宋体" w:eastAsia="宋体"/>
      </w:rPr>
    </w:lvl>
    <w:lvl w:ilvl="7" w:tentative="0">
      <w:start w:val="1"/>
      <w:numFmt w:val="decimal"/>
      <w:lvlText w:val="%1.%2.%3.%4.%5.%6.%7.%8"/>
      <w:lvlJc w:val="left"/>
      <w:pPr>
        <w:tabs>
          <w:tab w:val="left" w:pos="1440"/>
        </w:tabs>
        <w:ind w:left="1440" w:hanging="1440"/>
      </w:pPr>
      <w:rPr>
        <w:rFonts w:hint="eastAsia" w:ascii="宋体" w:hAnsi="宋体" w:eastAsia="宋体"/>
      </w:rPr>
    </w:lvl>
    <w:lvl w:ilvl="8" w:tentative="0">
      <w:start w:val="1"/>
      <w:numFmt w:val="decimal"/>
      <w:lvlText w:val="%1.%2.%3.%4.%5.%6.%7.%8.%9"/>
      <w:lvlJc w:val="left"/>
      <w:pPr>
        <w:tabs>
          <w:tab w:val="left" w:pos="1584"/>
        </w:tabs>
        <w:ind w:left="1584" w:hanging="1584"/>
      </w:pPr>
      <w:rPr>
        <w:rFonts w:hint="eastAsia" w:ascii="宋体" w:hAnsi="宋体" w:eastAsia="宋体"/>
      </w:rPr>
    </w:lvl>
  </w:abstractNum>
  <w:abstractNum w:abstractNumId="16">
    <w:nsid w:val="57F502C4"/>
    <w:multiLevelType w:val="singleLevel"/>
    <w:tmpl w:val="57F502C4"/>
    <w:lvl w:ilvl="0" w:tentative="0">
      <w:start w:val="1"/>
      <w:numFmt w:val="decimal"/>
      <w:lvlText w:val="(%1)"/>
      <w:lvlJc w:val="left"/>
      <w:pPr>
        <w:ind w:left="425" w:hanging="425"/>
      </w:pPr>
      <w:rPr>
        <w:rFonts w:hint="default"/>
      </w:rPr>
    </w:lvl>
  </w:abstractNum>
  <w:abstractNum w:abstractNumId="17">
    <w:nsid w:val="5B278A5F"/>
    <w:multiLevelType w:val="singleLevel"/>
    <w:tmpl w:val="5B278A5F"/>
    <w:lvl w:ilvl="0" w:tentative="0">
      <w:start w:val="1"/>
      <w:numFmt w:val="decimal"/>
      <w:lvlText w:val="%1."/>
      <w:lvlJc w:val="left"/>
      <w:pPr>
        <w:tabs>
          <w:tab w:val="left" w:pos="-420"/>
        </w:tabs>
        <w:ind w:left="425" w:hanging="425"/>
      </w:pPr>
      <w:rPr>
        <w:rFonts w:hint="default"/>
      </w:rPr>
    </w:lvl>
  </w:abstractNum>
  <w:num w:numId="1">
    <w:abstractNumId w:val="1"/>
  </w:num>
  <w:num w:numId="2">
    <w:abstractNumId w:val="14"/>
  </w:num>
  <w:num w:numId="3">
    <w:abstractNumId w:val="11"/>
  </w:num>
  <w:num w:numId="4">
    <w:abstractNumId w:val="3"/>
  </w:num>
  <w:num w:numId="5">
    <w:abstractNumId w:val="2"/>
  </w:num>
  <w:num w:numId="6">
    <w:abstractNumId w:val="0"/>
  </w:num>
  <w:num w:numId="7">
    <w:abstractNumId w:val="13"/>
  </w:num>
  <w:num w:numId="8">
    <w:abstractNumId w:val="15"/>
  </w:num>
  <w:num w:numId="9">
    <w:abstractNumId w:val="12"/>
  </w:num>
  <w:num w:numId="10">
    <w:abstractNumId w:val="16"/>
  </w:num>
  <w:num w:numId="11">
    <w:abstractNumId w:val="6"/>
  </w:num>
  <w:num w:numId="12">
    <w:abstractNumId w:val="5"/>
  </w:num>
  <w:num w:numId="13">
    <w:abstractNumId w:val="7"/>
  </w:num>
  <w:num w:numId="14">
    <w:abstractNumId w:val="10"/>
  </w:num>
  <w:num w:numId="15">
    <w:abstractNumId w:val="15"/>
    <w:lvlOverride w:ilvl="0">
      <w:lvl w:ilvl="0" w:tentative="1">
        <w:start w:val="1"/>
        <w:numFmt w:val="decimal"/>
        <w:lvlText w:val="第%1章"/>
        <w:lvlJc w:val="left"/>
        <w:pPr>
          <w:tabs>
            <w:tab w:val="left" w:pos="432"/>
          </w:tabs>
          <w:ind w:left="432" w:hanging="432"/>
        </w:pPr>
        <w:rPr>
          <w:rFonts w:hint="eastAsia" w:ascii="宋体" w:hAnsi="宋体" w:eastAsia="宋体"/>
        </w:rPr>
      </w:lvl>
    </w:lvlOverride>
    <w:lvlOverride w:ilvl="1">
      <w:lvl w:ilvl="1" w:tentative="1">
        <w:start w:val="1"/>
        <w:numFmt w:val="decimal"/>
        <w:lvlText w:val="%1.%2"/>
        <w:lvlJc w:val="left"/>
        <w:pPr>
          <w:tabs>
            <w:tab w:val="left" w:pos="576"/>
          </w:tabs>
          <w:ind w:left="567" w:hanging="283"/>
        </w:pPr>
        <w:rPr>
          <w:rFonts w:hint="eastAsia" w:ascii="宋体" w:hAnsi="宋体" w:eastAsia="宋体"/>
        </w:rPr>
      </w:lvl>
    </w:lvlOverride>
    <w:lvlOverride w:ilvl="2">
      <w:lvl w:ilvl="2" w:tentative="1">
        <w:start w:val="1"/>
        <w:numFmt w:val="decimal"/>
        <w:lvlText w:val="%1.%2.%3"/>
        <w:lvlJc w:val="left"/>
        <w:pPr>
          <w:tabs>
            <w:tab w:val="left" w:pos="720"/>
          </w:tabs>
          <w:ind w:left="720" w:hanging="436"/>
        </w:pPr>
        <w:rPr>
          <w:rFonts w:hint="eastAsia" w:ascii="宋体" w:hAnsi="宋体" w:eastAsia="宋体"/>
        </w:rPr>
      </w:lvl>
    </w:lvlOverride>
    <w:lvlOverride w:ilvl="3">
      <w:lvl w:ilvl="3" w:tentative="1">
        <w:start w:val="1"/>
        <w:numFmt w:val="decimal"/>
        <w:lvlText w:val="%1.%2.%3.%4"/>
        <w:lvlJc w:val="left"/>
        <w:pPr>
          <w:tabs>
            <w:tab w:val="left" w:pos="864"/>
          </w:tabs>
          <w:ind w:left="864" w:hanging="864"/>
        </w:pPr>
        <w:rPr>
          <w:rFonts w:hint="eastAsia" w:ascii="宋体" w:hAnsi="宋体" w:eastAsia="宋体"/>
        </w:rPr>
      </w:lvl>
    </w:lvlOverride>
    <w:lvlOverride w:ilvl="4">
      <w:lvl w:ilvl="4" w:tentative="1">
        <w:start w:val="1"/>
        <w:numFmt w:val="decimal"/>
        <w:lvlText w:val="%1.%2.%3.%4.%5"/>
        <w:lvlJc w:val="left"/>
        <w:pPr>
          <w:tabs>
            <w:tab w:val="left" w:pos="1008"/>
          </w:tabs>
          <w:ind w:left="1008" w:hanging="1008"/>
        </w:pPr>
        <w:rPr>
          <w:rFonts w:hint="eastAsia" w:ascii="宋体" w:hAnsi="宋体" w:eastAsia="宋体"/>
        </w:rPr>
      </w:lvl>
    </w:lvlOverride>
    <w:lvlOverride w:ilvl="5">
      <w:lvl w:ilvl="5" w:tentative="1">
        <w:start w:val="1"/>
        <w:numFmt w:val="decimal"/>
        <w:lvlText w:val="%1.%2.%3.%4.%5.%6"/>
        <w:lvlJc w:val="left"/>
        <w:pPr>
          <w:tabs>
            <w:tab w:val="left" w:pos="1152"/>
          </w:tabs>
          <w:ind w:left="1152" w:hanging="1152"/>
        </w:pPr>
        <w:rPr>
          <w:rFonts w:hint="eastAsia" w:ascii="宋体" w:hAnsi="宋体" w:eastAsia="宋体"/>
        </w:rPr>
      </w:lvl>
    </w:lvlOverride>
    <w:lvlOverride w:ilvl="6">
      <w:lvl w:ilvl="6" w:tentative="1">
        <w:start w:val="1"/>
        <w:numFmt w:val="decimal"/>
        <w:lvlText w:val="%1.%2.%3.%4.%5.%6.%7"/>
        <w:lvlJc w:val="left"/>
        <w:pPr>
          <w:tabs>
            <w:tab w:val="left" w:pos="1296"/>
          </w:tabs>
          <w:ind w:left="1296" w:hanging="1296"/>
        </w:pPr>
        <w:rPr>
          <w:rFonts w:hint="eastAsia" w:ascii="宋体" w:hAnsi="宋体" w:eastAsia="宋体"/>
        </w:rPr>
      </w:lvl>
    </w:lvlOverride>
    <w:lvlOverride w:ilvl="7">
      <w:lvl w:ilvl="7" w:tentative="1">
        <w:start w:val="1"/>
        <w:numFmt w:val="decimal"/>
        <w:lvlText w:val="%1.%2.%3.%4.%5.%6.%7.%8"/>
        <w:lvlJc w:val="left"/>
        <w:pPr>
          <w:tabs>
            <w:tab w:val="left" w:pos="1440"/>
          </w:tabs>
          <w:ind w:left="1440" w:hanging="1440"/>
        </w:pPr>
        <w:rPr>
          <w:rFonts w:hint="eastAsia" w:ascii="宋体" w:hAnsi="宋体" w:eastAsia="宋体"/>
        </w:rPr>
      </w:lvl>
    </w:lvlOverride>
    <w:lvlOverride w:ilvl="8">
      <w:lvl w:ilvl="8" w:tentative="1">
        <w:start w:val="1"/>
        <w:numFmt w:val="decimal"/>
        <w:lvlText w:val="%1.%2.%3.%4.%5.%6.%7.%8.%9"/>
        <w:lvlJc w:val="left"/>
        <w:pPr>
          <w:tabs>
            <w:tab w:val="left" w:pos="1584"/>
          </w:tabs>
          <w:ind w:left="1584" w:hanging="1584"/>
        </w:pPr>
        <w:rPr>
          <w:rFonts w:hint="eastAsia" w:ascii="宋体" w:hAnsi="宋体" w:eastAsia="宋体"/>
        </w:rPr>
      </w:lvl>
    </w:lvlOverride>
  </w:num>
  <w:num w:numId="16">
    <w:abstractNumId w:val="9"/>
  </w:num>
  <w:num w:numId="17">
    <w:abstractNumId w:val="17"/>
  </w:num>
  <w:num w:numId="18">
    <w:abstractNumId w:val="8"/>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D49"/>
    <w:rsid w:val="0069003D"/>
    <w:rsid w:val="00810D76"/>
    <w:rsid w:val="00847D49"/>
    <w:rsid w:val="00AC1445"/>
    <w:rsid w:val="00D4779F"/>
    <w:rsid w:val="00E27B67"/>
    <w:rsid w:val="027E21F6"/>
    <w:rsid w:val="02C72EDA"/>
    <w:rsid w:val="0356670A"/>
    <w:rsid w:val="035937A7"/>
    <w:rsid w:val="03AA4179"/>
    <w:rsid w:val="04940161"/>
    <w:rsid w:val="04DA3823"/>
    <w:rsid w:val="071F0844"/>
    <w:rsid w:val="07773DA1"/>
    <w:rsid w:val="07D3460C"/>
    <w:rsid w:val="07D82BF3"/>
    <w:rsid w:val="080E331C"/>
    <w:rsid w:val="08391293"/>
    <w:rsid w:val="0EDB6178"/>
    <w:rsid w:val="10645539"/>
    <w:rsid w:val="11112603"/>
    <w:rsid w:val="125116CC"/>
    <w:rsid w:val="125E6F09"/>
    <w:rsid w:val="140A0C0A"/>
    <w:rsid w:val="140A5100"/>
    <w:rsid w:val="15262994"/>
    <w:rsid w:val="174309E2"/>
    <w:rsid w:val="17785B1F"/>
    <w:rsid w:val="179E0CE0"/>
    <w:rsid w:val="17B44838"/>
    <w:rsid w:val="180E58DC"/>
    <w:rsid w:val="18F308B3"/>
    <w:rsid w:val="197B6322"/>
    <w:rsid w:val="1A7A46E6"/>
    <w:rsid w:val="1D552DD9"/>
    <w:rsid w:val="1E4C1F00"/>
    <w:rsid w:val="21793170"/>
    <w:rsid w:val="2290243C"/>
    <w:rsid w:val="267F737B"/>
    <w:rsid w:val="26E57297"/>
    <w:rsid w:val="28FC05AD"/>
    <w:rsid w:val="290756FC"/>
    <w:rsid w:val="291476A5"/>
    <w:rsid w:val="2A0B17B3"/>
    <w:rsid w:val="2A9C4A15"/>
    <w:rsid w:val="2AB831E9"/>
    <w:rsid w:val="2B140177"/>
    <w:rsid w:val="2E141F9A"/>
    <w:rsid w:val="2ECD1111"/>
    <w:rsid w:val="383E2F84"/>
    <w:rsid w:val="38B47363"/>
    <w:rsid w:val="399B44A7"/>
    <w:rsid w:val="3BB5BC54"/>
    <w:rsid w:val="3BC35686"/>
    <w:rsid w:val="3BC725E9"/>
    <w:rsid w:val="3E182376"/>
    <w:rsid w:val="3EA82D77"/>
    <w:rsid w:val="3F0A6AF0"/>
    <w:rsid w:val="3FDA1594"/>
    <w:rsid w:val="407930E3"/>
    <w:rsid w:val="409776E7"/>
    <w:rsid w:val="42AD17C3"/>
    <w:rsid w:val="458A7F8E"/>
    <w:rsid w:val="4799259F"/>
    <w:rsid w:val="47B03AE9"/>
    <w:rsid w:val="48DC5502"/>
    <w:rsid w:val="4DD74C94"/>
    <w:rsid w:val="4E09582B"/>
    <w:rsid w:val="4F0F5ED5"/>
    <w:rsid w:val="53C27AB6"/>
    <w:rsid w:val="541A1DB8"/>
    <w:rsid w:val="541C35D6"/>
    <w:rsid w:val="559E5AB7"/>
    <w:rsid w:val="57D52571"/>
    <w:rsid w:val="594F4427"/>
    <w:rsid w:val="5C570D59"/>
    <w:rsid w:val="5EB57898"/>
    <w:rsid w:val="5F345D8B"/>
    <w:rsid w:val="60946B05"/>
    <w:rsid w:val="6230163E"/>
    <w:rsid w:val="63B9359D"/>
    <w:rsid w:val="66D55F07"/>
    <w:rsid w:val="66D66C51"/>
    <w:rsid w:val="67F52C07"/>
    <w:rsid w:val="680A37A8"/>
    <w:rsid w:val="6C545FC6"/>
    <w:rsid w:val="70C7626D"/>
    <w:rsid w:val="72556331"/>
    <w:rsid w:val="740407CA"/>
    <w:rsid w:val="750A1321"/>
    <w:rsid w:val="75E3464B"/>
    <w:rsid w:val="76205EF3"/>
    <w:rsid w:val="7A833776"/>
    <w:rsid w:val="7B1B79EC"/>
    <w:rsid w:val="7B271E16"/>
    <w:rsid w:val="7DCE51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spacing w:line="500" w:lineRule="exact"/>
      <w:jc w:val="center"/>
      <w:outlineLvl w:val="0"/>
    </w:pPr>
    <w:rPr>
      <w:rFonts w:ascii="宋体" w:hAnsi="宋体" w:eastAsia="仿宋"/>
      <w:b/>
      <w:sz w:val="30"/>
      <w:szCs w:val="20"/>
    </w:rPr>
  </w:style>
  <w:style w:type="paragraph" w:styleId="3">
    <w:name w:val="heading 2"/>
    <w:basedOn w:val="1"/>
    <w:next w:val="1"/>
    <w:qFormat/>
    <w:uiPriority w:val="0"/>
    <w:pPr>
      <w:keepNext/>
      <w:keepLines/>
      <w:spacing w:before="50" w:beforeLines="50"/>
      <w:jc w:val="left"/>
      <w:outlineLvl w:val="1"/>
    </w:pPr>
    <w:rPr>
      <w:rFonts w:ascii="Times New Roman" w:hAnsi="Times New Roman" w:eastAsia="宋体"/>
      <w:b/>
      <w:sz w:val="30"/>
    </w:rPr>
  </w:style>
  <w:style w:type="paragraph" w:styleId="4">
    <w:name w:val="heading 4"/>
    <w:basedOn w:val="1"/>
    <w:next w:val="1"/>
    <w:qFormat/>
    <w:uiPriority w:val="0"/>
    <w:pPr>
      <w:pBdr>
        <w:bottom w:val="single" w:color="B8CCE4" w:sz="4" w:space="2"/>
      </w:pBdr>
      <w:spacing w:before="200" w:beforeLines="0" w:after="80" w:afterLines="0"/>
      <w:outlineLvl w:val="3"/>
    </w:pPr>
    <w:rPr>
      <w:rFonts w:ascii="Cambria" w:hAnsi="Cambria" w:cs="宋体"/>
      <w:i/>
      <w:iCs/>
      <w:color w:val="4F81BD"/>
      <w:sz w:val="24"/>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toa heading"/>
    <w:basedOn w:val="1"/>
    <w:next w:val="1"/>
    <w:qFormat/>
    <w:uiPriority w:val="99"/>
    <w:rPr>
      <w:rFonts w:ascii="Arial" w:hAnsi="Arial"/>
      <w:sz w:val="24"/>
    </w:rPr>
  </w:style>
  <w:style w:type="paragraph" w:styleId="6">
    <w:name w:val="annotation text"/>
    <w:basedOn w:val="1"/>
    <w:qFormat/>
    <w:uiPriority w:val="0"/>
    <w:pPr>
      <w:jc w:val="left"/>
    </w:pPr>
  </w:style>
  <w:style w:type="paragraph" w:styleId="7">
    <w:name w:val="Body Text"/>
    <w:basedOn w:val="1"/>
    <w:next w:val="1"/>
    <w:qFormat/>
    <w:uiPriority w:val="0"/>
    <w:pPr>
      <w:spacing w:after="120"/>
    </w:pPr>
    <w:rPr>
      <w:rFonts w:ascii="宋体" w:hAnsi="宋体"/>
      <w:sz w:val="28"/>
    </w:rPr>
  </w:style>
  <w:style w:type="paragraph" w:styleId="8">
    <w:name w:val="Body Text Indent"/>
    <w:basedOn w:val="1"/>
    <w:next w:val="9"/>
    <w:qFormat/>
    <w:uiPriority w:val="99"/>
    <w:pPr>
      <w:spacing w:line="360" w:lineRule="auto"/>
      <w:ind w:firstLine="600" w:firstLineChars="200"/>
    </w:pPr>
    <w:rPr>
      <w:rFonts w:ascii="仿宋_GB2312" w:hAnsi="宋体" w:eastAsia="仿宋_GB2312"/>
      <w:sz w:val="30"/>
    </w:rPr>
  </w:style>
  <w:style w:type="paragraph" w:styleId="9">
    <w:name w:val="envelope return"/>
    <w:basedOn w:val="1"/>
    <w:qFormat/>
    <w:uiPriority w:val="0"/>
    <w:pPr>
      <w:widowControl/>
      <w:adjustRightInd w:val="0"/>
      <w:snapToGrid w:val="0"/>
      <w:spacing w:after="200"/>
      <w:jc w:val="left"/>
    </w:pPr>
    <w:rPr>
      <w:rFonts w:ascii="Arial" w:hAnsi="Arial" w:eastAsia="微软雅黑"/>
      <w:kern w:val="0"/>
      <w:sz w:val="22"/>
      <w:szCs w:val="22"/>
    </w:rPr>
  </w:style>
  <w:style w:type="paragraph" w:styleId="10">
    <w:name w:val="Body Text Indent 2"/>
    <w:qFormat/>
    <w:uiPriority w:val="0"/>
    <w:pPr>
      <w:widowControl w:val="0"/>
      <w:spacing w:line="320" w:lineRule="atLeast"/>
      <w:ind w:firstLine="600" w:firstLineChars="250"/>
      <w:jc w:val="both"/>
    </w:pPr>
    <w:rPr>
      <w:rFonts w:ascii="宋体" w:hAnsi="宋体" w:eastAsia="宋体" w:cs="宋体"/>
      <w:kern w:val="2"/>
      <w:sz w:val="24"/>
      <w:szCs w:val="24"/>
      <w:lang w:val="en-US" w:eastAsia="zh-CN" w:bidi="ar-SA"/>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First Indent"/>
    <w:basedOn w:val="7"/>
    <w:next w:val="1"/>
    <w:qFormat/>
    <w:uiPriority w:val="0"/>
    <w:pPr>
      <w:ind w:firstLine="420" w:firstLineChars="100"/>
    </w:pPr>
    <w:rPr>
      <w:rFonts w:ascii="Times New Roman" w:hAnsi="Times New Roman" w:eastAsia="宋体" w:cs="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annotation reference"/>
    <w:basedOn w:val="16"/>
    <w:qFormat/>
    <w:uiPriority w:val="0"/>
    <w:rPr>
      <w:sz w:val="21"/>
      <w:szCs w:val="21"/>
    </w:rPr>
  </w:style>
  <w:style w:type="paragraph" w:customStyle="1" w:styleId="19">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20">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21">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_Style 1"/>
    <w:qFormat/>
    <w:uiPriority w:val="99"/>
    <w:rPr>
      <w:rFonts w:ascii="Calibri" w:hAnsi="Calibri" w:eastAsia="宋体" w:cs="Times New Roman"/>
      <w:kern w:val="2"/>
      <w:sz w:val="28"/>
      <w:szCs w:val="22"/>
      <w:lang w:val="en-US" w:eastAsia="zh-CN" w:bidi="ar-SA"/>
    </w:rPr>
  </w:style>
  <w:style w:type="paragraph" w:customStyle="1" w:styleId="24">
    <w:name w:val="Revision"/>
    <w:hidden/>
    <w:unhideWhenUsed/>
    <w:qFormat/>
    <w:uiPriority w:val="99"/>
    <w:rPr>
      <w:rFonts w:asciiTheme="minorHAnsi" w:hAnsiTheme="minorHAnsi" w:eastAsiaTheme="minorEastAsia" w:cstheme="minorBidi"/>
      <w:kern w:val="2"/>
      <w:sz w:val="21"/>
      <w:szCs w:val="24"/>
      <w:lang w:val="en-US" w:eastAsia="zh-CN" w:bidi="ar-SA"/>
    </w:rPr>
  </w:style>
  <w:style w:type="paragraph" w:styleId="25">
    <w:name w:val="List Paragraph"/>
    <w:basedOn w:val="1"/>
    <w:qFormat/>
    <w:uiPriority w:val="34"/>
    <w:pPr>
      <w:widowControl/>
      <w:ind w:firstLine="420" w:firstLineChars="200"/>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Pages>
  <Words>9467</Words>
  <Characters>9839</Characters>
  <Lines>59</Lines>
  <Paragraphs>16</Paragraphs>
  <TotalTime>39</TotalTime>
  <ScaleCrop>false</ScaleCrop>
  <LinksUpToDate>false</LinksUpToDate>
  <CharactersWithSpaces>10128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2024-09-06T08:07:00Z</dcterms:created>
  <dc:creator>Admin</dc:creator>
  <cp:lastModifiedBy>wwwyyy0001</cp:lastModifiedBy>
  <cp:lastPrinted>2025-09-05T14:23:00Z</cp:lastPrinted>
  <dcterms:modified xsi:type="dcterms:W3CDTF">2025-10-29T08:31:42Z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EF060ACDE2A749B59F2E7A844637F9CE</vt:lpwstr>
  </property>
  <property fmtid="{D5CDD505-2E9C-101B-9397-08002B2CF9AE}" pid="4" name="KSOTemplateDocerSaveRecord">
    <vt:lpwstr>eyJoZGlkIjoiOWUyZDNlYzgyNDJhOGZlYWE3Yzc3MGU3OWQ5ZDc5ZTciLCJ1c2VySWQiOiIzMDUxNzc2OTEifQ==</vt:lpwstr>
  </property>
</Properties>
</file>