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7C44E">
      <w:pPr>
        <w:tabs>
          <w:tab w:val="left" w:pos="1285"/>
          <w:tab w:val="center" w:pos="4652"/>
        </w:tabs>
        <w:spacing w:line="360" w:lineRule="auto"/>
        <w:jc w:val="center"/>
        <w:rPr>
          <w:rFonts w:ascii="宋体" w:hAnsi="宋体" w:eastAsia="宋体" w:cs="宋体"/>
          <w:b/>
          <w:bCs/>
          <w:sz w:val="52"/>
          <w:szCs w:val="52"/>
          <w:highlight w:val="none"/>
        </w:rPr>
      </w:pPr>
      <w:r>
        <w:rPr>
          <w:rFonts w:hint="eastAsia" w:ascii="宋体" w:hAnsi="宋体" w:eastAsia="宋体" w:cs="宋体"/>
          <w:b/>
          <w:bCs/>
          <w:sz w:val="52"/>
          <w:szCs w:val="52"/>
          <w:highlight w:val="none"/>
          <w:lang w:val="en-US" w:eastAsia="zh-CN"/>
        </w:rPr>
        <w:t>湖州学院实验室智能储物柜采购项目</w:t>
      </w:r>
    </w:p>
    <w:p w14:paraId="62F55A65">
      <w:pPr>
        <w:tabs>
          <w:tab w:val="left" w:pos="1285"/>
          <w:tab w:val="center" w:pos="4652"/>
        </w:tabs>
        <w:spacing w:line="360" w:lineRule="auto"/>
        <w:jc w:val="center"/>
        <w:rPr>
          <w:rFonts w:ascii="宋体" w:hAnsi="宋体" w:eastAsia="宋体" w:cs="宋体"/>
          <w:b/>
          <w:bCs/>
          <w:sz w:val="52"/>
          <w:szCs w:val="52"/>
          <w:highlight w:val="none"/>
        </w:rPr>
      </w:pPr>
    </w:p>
    <w:p w14:paraId="66830031">
      <w:pPr>
        <w:pStyle w:val="6"/>
        <w:ind w:firstLine="0" w:firstLineChars="0"/>
        <w:jc w:val="center"/>
        <w:rPr>
          <w:highlight w:val="none"/>
        </w:rPr>
      </w:pPr>
    </w:p>
    <w:p w14:paraId="78035073">
      <w:pPr>
        <w:tabs>
          <w:tab w:val="left" w:pos="1285"/>
          <w:tab w:val="center" w:pos="4652"/>
        </w:tabs>
        <w:spacing w:line="360" w:lineRule="auto"/>
        <w:jc w:val="center"/>
        <w:rPr>
          <w:rFonts w:ascii="宋体" w:hAnsi="宋体" w:eastAsia="宋体" w:cs="宋体"/>
          <w:b/>
          <w:bCs/>
          <w:sz w:val="52"/>
          <w:szCs w:val="52"/>
          <w:highlight w:val="none"/>
        </w:rPr>
      </w:pPr>
      <w:r>
        <w:rPr>
          <w:rFonts w:hint="eastAsia" w:ascii="宋体" w:hAnsi="宋体" w:eastAsia="宋体" w:cs="宋体"/>
          <w:b/>
          <w:bCs/>
          <w:sz w:val="52"/>
          <w:szCs w:val="52"/>
          <w:highlight w:val="none"/>
        </w:rPr>
        <w:t>招标文件</w:t>
      </w:r>
    </w:p>
    <w:p w14:paraId="6DA41F2E">
      <w:pPr>
        <w:pStyle w:val="6"/>
        <w:ind w:firstLine="0" w:firstLineChars="0"/>
        <w:jc w:val="center"/>
        <w:rPr>
          <w:highlight w:val="none"/>
        </w:rPr>
      </w:pPr>
    </w:p>
    <w:p w14:paraId="43802D9B">
      <w:pPr>
        <w:spacing w:line="480" w:lineRule="auto"/>
        <w:jc w:val="center"/>
        <w:rPr>
          <w:rFonts w:ascii="宋体" w:hAnsi="宋体" w:eastAsia="宋体" w:cs="宋体"/>
          <w:b/>
          <w:bCs/>
          <w:sz w:val="32"/>
          <w:szCs w:val="32"/>
          <w:highlight w:val="none"/>
        </w:rPr>
      </w:pPr>
    </w:p>
    <w:p w14:paraId="17B2F6B1">
      <w:pPr>
        <w:pStyle w:val="6"/>
        <w:ind w:firstLine="0" w:firstLineChars="0"/>
        <w:jc w:val="center"/>
        <w:rPr>
          <w:rFonts w:ascii="宋体" w:hAnsi="宋体" w:cs="宋体"/>
          <w:b/>
          <w:bCs/>
          <w:sz w:val="32"/>
          <w:szCs w:val="32"/>
          <w:highlight w:val="none"/>
        </w:rPr>
      </w:pPr>
    </w:p>
    <w:p w14:paraId="6FB1D4F6">
      <w:pPr>
        <w:jc w:val="center"/>
        <w:rPr>
          <w:highlight w:val="none"/>
        </w:rPr>
      </w:pPr>
    </w:p>
    <w:p w14:paraId="0C4788BD">
      <w:pPr>
        <w:jc w:val="center"/>
        <w:rPr>
          <w:rFonts w:ascii="宋体" w:hAnsi="宋体" w:eastAsia="宋体" w:cs="宋体"/>
          <w:b/>
          <w:bCs/>
          <w:sz w:val="32"/>
          <w:szCs w:val="32"/>
          <w:highlight w:val="none"/>
        </w:rPr>
      </w:pPr>
    </w:p>
    <w:p w14:paraId="429D7AAF">
      <w:pPr>
        <w:pStyle w:val="6"/>
        <w:ind w:firstLine="0" w:firstLineChars="0"/>
        <w:jc w:val="center"/>
        <w:rPr>
          <w:highlight w:val="none"/>
        </w:rPr>
      </w:pPr>
    </w:p>
    <w:p w14:paraId="1306245A">
      <w:pPr>
        <w:spacing w:line="480" w:lineRule="auto"/>
        <w:ind w:left="210" w:leftChars="100" w:firstLine="2570" w:firstLineChars="800"/>
        <w:rPr>
          <w:rFonts w:hint="default" w:ascii="宋体" w:hAnsi="宋体" w:eastAsia="宋体" w:cs="宋体"/>
          <w:b/>
          <w:bCs/>
          <w:sz w:val="32"/>
          <w:szCs w:val="32"/>
          <w:highlight w:val="none"/>
          <w:lang w:val="en-US" w:eastAsia="zh-CN"/>
        </w:rPr>
      </w:pPr>
      <w:r>
        <w:rPr>
          <w:rFonts w:hint="eastAsia" w:ascii="宋体" w:hAnsi="宋体" w:eastAsia="宋体" w:cs="宋体"/>
          <w:b/>
          <w:bCs/>
          <w:sz w:val="32"/>
          <w:szCs w:val="32"/>
          <w:highlight w:val="none"/>
        </w:rPr>
        <w:t>项目编号：</w:t>
      </w:r>
      <w:r>
        <w:rPr>
          <w:rFonts w:hint="eastAsia" w:ascii="宋体" w:hAnsi="宋体" w:eastAsia="宋体" w:cs="宋体"/>
          <w:b/>
          <w:bCs/>
          <w:sz w:val="32"/>
          <w:szCs w:val="32"/>
          <w:highlight w:val="none"/>
          <w:lang w:val="en-US" w:eastAsia="zh-CN"/>
        </w:rPr>
        <w:t>XZ2026020A</w:t>
      </w:r>
    </w:p>
    <w:p w14:paraId="6BB67FF7">
      <w:pPr>
        <w:spacing w:line="480" w:lineRule="auto"/>
        <w:ind w:left="210" w:leftChars="100" w:firstLine="2570" w:firstLineChars="800"/>
        <w:jc w:val="left"/>
        <w:rPr>
          <w:rFonts w:ascii="宋体" w:hAnsi="宋体" w:eastAsia="宋体" w:cs="宋体"/>
          <w:b/>
          <w:bCs/>
          <w:sz w:val="32"/>
          <w:szCs w:val="32"/>
          <w:highlight w:val="none"/>
        </w:rPr>
      </w:pPr>
      <w:r>
        <w:rPr>
          <w:rFonts w:hint="eastAsia" w:ascii="宋体" w:hAnsi="宋体" w:eastAsia="宋体" w:cs="宋体"/>
          <w:b/>
          <w:bCs/>
          <w:sz w:val="32"/>
          <w:szCs w:val="32"/>
          <w:highlight w:val="none"/>
        </w:rPr>
        <w:t>采购人：湖州学院</w:t>
      </w:r>
    </w:p>
    <w:p w14:paraId="33835EC6">
      <w:pPr>
        <w:spacing w:line="480" w:lineRule="auto"/>
        <w:ind w:left="210" w:leftChars="100" w:firstLine="2570" w:firstLineChars="800"/>
        <w:jc w:val="left"/>
        <w:rPr>
          <w:rFonts w:ascii="宋体" w:hAnsi="宋体" w:eastAsia="宋体" w:cs="宋体"/>
          <w:b/>
          <w:bCs/>
          <w:sz w:val="32"/>
          <w:szCs w:val="32"/>
          <w:highlight w:val="none"/>
        </w:rPr>
      </w:pPr>
      <w:r>
        <w:rPr>
          <w:rFonts w:hint="eastAsia" w:ascii="宋体" w:hAnsi="宋体" w:eastAsia="宋体" w:cs="宋体"/>
          <w:b/>
          <w:bCs/>
          <w:sz w:val="32"/>
          <w:szCs w:val="32"/>
          <w:highlight w:val="none"/>
        </w:rPr>
        <w:t>日期：202</w:t>
      </w:r>
      <w:r>
        <w:rPr>
          <w:rFonts w:hint="eastAsia" w:ascii="宋体" w:hAnsi="宋体" w:eastAsia="宋体" w:cs="宋体"/>
          <w:b/>
          <w:bCs/>
          <w:sz w:val="32"/>
          <w:szCs w:val="32"/>
          <w:highlight w:val="none"/>
          <w:lang w:val="en-US" w:eastAsia="zh-CN"/>
        </w:rPr>
        <w:t>6</w:t>
      </w:r>
      <w:r>
        <w:rPr>
          <w:rFonts w:hint="eastAsia" w:ascii="宋体" w:hAnsi="宋体" w:eastAsia="宋体" w:cs="宋体"/>
          <w:b/>
          <w:bCs/>
          <w:sz w:val="32"/>
          <w:szCs w:val="32"/>
          <w:highlight w:val="none"/>
        </w:rPr>
        <w:t>年</w:t>
      </w:r>
      <w:r>
        <w:rPr>
          <w:rFonts w:hint="eastAsia" w:ascii="宋体" w:hAnsi="宋体" w:eastAsia="宋体" w:cs="宋体"/>
          <w:b/>
          <w:bCs/>
          <w:sz w:val="32"/>
          <w:szCs w:val="32"/>
          <w:highlight w:val="none"/>
          <w:lang w:val="en-US" w:eastAsia="zh-CN"/>
        </w:rPr>
        <w:t>10</w:t>
      </w:r>
      <w:bookmarkStart w:id="3" w:name="_GoBack"/>
      <w:bookmarkEnd w:id="3"/>
      <w:r>
        <w:rPr>
          <w:rFonts w:hint="eastAsia" w:ascii="宋体" w:hAnsi="宋体" w:eastAsia="宋体" w:cs="宋体"/>
          <w:b/>
          <w:bCs/>
          <w:sz w:val="32"/>
          <w:szCs w:val="32"/>
          <w:highlight w:val="none"/>
        </w:rPr>
        <w:t>月</w:t>
      </w:r>
    </w:p>
    <w:p w14:paraId="6ACFEEB9">
      <w:pPr>
        <w:pStyle w:val="6"/>
        <w:ind w:firstLine="321"/>
        <w:rPr>
          <w:rFonts w:ascii="宋体" w:hAnsi="宋体" w:cs="宋体"/>
          <w:b/>
          <w:bCs/>
          <w:sz w:val="32"/>
          <w:szCs w:val="32"/>
          <w:highlight w:val="none"/>
        </w:rPr>
      </w:pPr>
    </w:p>
    <w:p w14:paraId="2EA608E5">
      <w:pPr>
        <w:rPr>
          <w:rFonts w:hint="eastAsia" w:ascii="仿宋" w:hAnsi="仿宋" w:eastAsia="仿宋" w:cs="仿宋"/>
          <w:highlight w:val="none"/>
          <w:lang w:val="en-US" w:eastAsia="zh-CN"/>
        </w:rPr>
      </w:pPr>
      <w:r>
        <w:rPr>
          <w:rFonts w:hint="eastAsia" w:ascii="仿宋" w:hAnsi="仿宋" w:eastAsia="仿宋" w:cs="仿宋"/>
          <w:highlight w:val="none"/>
          <w:lang w:val="en-US" w:eastAsia="zh-CN"/>
        </w:rPr>
        <w:br w:type="page"/>
      </w:r>
    </w:p>
    <w:p w14:paraId="44C0D164">
      <w:pPr>
        <w:pStyle w:val="18"/>
        <w:rPr>
          <w:rFonts w:hint="default" w:ascii="仿宋" w:hAnsi="仿宋" w:eastAsia="仿宋" w:cs="仿宋"/>
          <w:szCs w:val="36"/>
          <w:highlight w:val="none"/>
        </w:rPr>
      </w:pPr>
      <w:r>
        <w:rPr>
          <w:rFonts w:hint="eastAsia" w:ascii="仿宋" w:hAnsi="仿宋" w:eastAsia="仿宋" w:cs="仿宋"/>
          <w:highlight w:val="none"/>
          <w:lang w:val="en-US" w:eastAsia="zh-CN"/>
        </w:rPr>
        <w:t xml:space="preserve">第一章 </w:t>
      </w:r>
      <w:r>
        <w:rPr>
          <w:rFonts w:ascii="仿宋" w:hAnsi="仿宋" w:eastAsia="仿宋" w:cs="仿宋"/>
          <w:highlight w:val="none"/>
        </w:rPr>
        <w:t>招标概况</w:t>
      </w:r>
    </w:p>
    <w:p w14:paraId="0633F84B">
      <w:pPr>
        <w:pStyle w:val="19"/>
        <w:rPr>
          <w:rFonts w:hint="default" w:ascii="仿宋" w:hAnsi="仿宋" w:eastAsia="仿宋" w:cs="仿宋"/>
          <w:highlight w:val="none"/>
        </w:rPr>
      </w:pPr>
      <w:r>
        <w:rPr>
          <w:rFonts w:ascii="仿宋" w:hAnsi="仿宋" w:eastAsia="仿宋" w:cs="仿宋"/>
          <w:highlight w:val="none"/>
        </w:rPr>
        <w:t>一、项目基本情况</w:t>
      </w:r>
    </w:p>
    <w:p w14:paraId="47EAA88F">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项目名称：</w:t>
      </w:r>
      <w:r>
        <w:rPr>
          <w:rFonts w:hint="eastAsia" w:ascii="仿宋" w:hAnsi="仿宋" w:eastAsia="仿宋" w:cs="仿宋"/>
          <w:highlight w:val="none"/>
          <w:lang w:val="en-US" w:eastAsia="zh-CN"/>
        </w:rPr>
        <w:t>湖州学院实验室智能储物柜采购项目</w:t>
      </w:r>
    </w:p>
    <w:p w14:paraId="6DB262B5">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采购编号：</w:t>
      </w:r>
      <w:r>
        <w:rPr>
          <w:rFonts w:hint="eastAsia" w:ascii="仿宋" w:hAnsi="仿宋" w:eastAsia="仿宋" w:cs="仿宋"/>
          <w:highlight w:val="none"/>
          <w:lang w:eastAsia="zh-CN"/>
        </w:rPr>
        <w:t>XZ2026020A</w:t>
      </w:r>
      <w:r>
        <w:rPr>
          <w:rFonts w:ascii="仿宋" w:hAnsi="仿宋" w:eastAsia="仿宋" w:cs="仿宋"/>
          <w:highlight w:val="none"/>
        </w:rPr>
        <w:t>；</w:t>
      </w:r>
    </w:p>
    <w:p w14:paraId="519C0754">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采购方式：校内公开招标；</w:t>
      </w:r>
    </w:p>
    <w:p w14:paraId="41A2558B">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采购预算（最高限价）：</w:t>
      </w:r>
      <w:r>
        <w:rPr>
          <w:rFonts w:hint="eastAsia" w:ascii="仿宋" w:hAnsi="仿宋" w:eastAsia="仿宋" w:cs="仿宋"/>
          <w:highlight w:val="none"/>
          <w:lang w:val="en-US" w:eastAsia="zh-CN"/>
        </w:rPr>
        <w:t>172000</w:t>
      </w:r>
      <w:r>
        <w:rPr>
          <w:rFonts w:ascii="仿宋" w:hAnsi="仿宋" w:eastAsia="仿宋" w:cs="仿宋"/>
          <w:highlight w:val="none"/>
        </w:rPr>
        <w:t>元；</w:t>
      </w:r>
    </w:p>
    <w:p w14:paraId="29AFB81F">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交货期限：</w:t>
      </w:r>
      <w:r>
        <w:rPr>
          <w:rFonts w:hint="default" w:ascii="仿宋" w:hAnsi="仿宋" w:eastAsia="仿宋" w:cs="仿宋"/>
          <w:highlight w:val="none"/>
          <w:woUserID w:val="1"/>
        </w:rPr>
        <w:t>中标通知书发出之日起10个工作日内完成全部 40 套柜体供货、安装与调试工作</w:t>
      </w:r>
      <w:r>
        <w:rPr>
          <w:rFonts w:hint="eastAsia" w:ascii="仿宋" w:hAnsi="仿宋" w:eastAsia="仿宋" w:cs="仿宋"/>
          <w:highlight w:val="none"/>
          <w:lang w:eastAsia="zh-CN"/>
          <w:woUserID w:val="1"/>
        </w:rPr>
        <w:t>；</w:t>
      </w:r>
    </w:p>
    <w:p w14:paraId="2D56DC21">
      <w:pPr>
        <w:pStyle w:val="20"/>
        <w:numPr>
          <w:ilvl w:val="0"/>
          <w:numId w:val="1"/>
        </w:numPr>
        <w:ind w:firstLineChars="0"/>
        <w:rPr>
          <w:rFonts w:hint="default" w:ascii="仿宋" w:hAnsi="仿宋" w:eastAsia="仿宋" w:cs="仿宋"/>
          <w:highlight w:val="none"/>
        </w:rPr>
      </w:pPr>
      <w:r>
        <w:rPr>
          <w:rFonts w:ascii="仿宋" w:hAnsi="仿宋" w:eastAsia="仿宋" w:cs="仿宋"/>
          <w:highlight w:val="none"/>
        </w:rPr>
        <w:t>采购需求：详见招标文件采购需求部分。</w:t>
      </w:r>
    </w:p>
    <w:p w14:paraId="70AE1822">
      <w:pPr>
        <w:pStyle w:val="19"/>
        <w:rPr>
          <w:rFonts w:hint="default" w:ascii="仿宋" w:hAnsi="仿宋" w:eastAsia="仿宋" w:cs="仿宋"/>
          <w:highlight w:val="none"/>
        </w:rPr>
      </w:pPr>
      <w:r>
        <w:rPr>
          <w:rFonts w:ascii="仿宋" w:hAnsi="仿宋" w:eastAsia="仿宋" w:cs="仿宋"/>
          <w:highlight w:val="none"/>
        </w:rPr>
        <w:t>二、投标人资格要求</w:t>
      </w:r>
    </w:p>
    <w:p w14:paraId="1ECCBDC3">
      <w:pPr>
        <w:pStyle w:val="20"/>
        <w:ind w:firstLine="420" w:firstLineChars="0"/>
        <w:rPr>
          <w:rFonts w:hint="default" w:ascii="仿宋" w:hAnsi="仿宋" w:eastAsia="仿宋" w:cs="仿宋"/>
          <w:b/>
          <w:bCs/>
          <w:highlight w:val="none"/>
        </w:rPr>
      </w:pPr>
      <w:r>
        <w:rPr>
          <w:rFonts w:ascii="仿宋" w:hAnsi="仿宋" w:eastAsia="仿宋" w:cs="仿宋"/>
          <w:b/>
          <w:bCs/>
          <w:highlight w:val="none"/>
        </w:rPr>
        <w:t>（一）一般资格要求：</w:t>
      </w:r>
    </w:p>
    <w:p w14:paraId="6DE9FA3D">
      <w:pPr>
        <w:pStyle w:val="20"/>
        <w:numPr>
          <w:ilvl w:val="0"/>
          <w:numId w:val="2"/>
        </w:numPr>
        <w:ind w:firstLineChars="0"/>
        <w:rPr>
          <w:rFonts w:hint="default" w:ascii="仿宋" w:hAnsi="仿宋" w:eastAsia="仿宋" w:cs="仿宋"/>
          <w:highlight w:val="none"/>
        </w:rPr>
      </w:pPr>
      <w:r>
        <w:rPr>
          <w:rFonts w:ascii="仿宋" w:hAnsi="仿宋" w:eastAsia="仿宋" w:cs="仿宋"/>
          <w:highlight w:val="none"/>
        </w:rPr>
        <w:t>具有独立承担民事责任的能力；</w:t>
      </w:r>
    </w:p>
    <w:p w14:paraId="070CA020">
      <w:pPr>
        <w:pStyle w:val="20"/>
        <w:numPr>
          <w:ilvl w:val="0"/>
          <w:numId w:val="2"/>
        </w:numPr>
        <w:ind w:firstLineChars="0"/>
        <w:rPr>
          <w:rFonts w:hint="default" w:ascii="仿宋" w:hAnsi="仿宋" w:eastAsia="仿宋" w:cs="仿宋"/>
          <w:highlight w:val="none"/>
        </w:rPr>
      </w:pPr>
      <w:r>
        <w:rPr>
          <w:rFonts w:ascii="仿宋" w:hAnsi="仿宋" w:eastAsia="仿宋" w:cs="仿宋"/>
          <w:highlight w:val="none"/>
        </w:rPr>
        <w:t>具有良好的商业信誉和健全的财务会计制度；</w:t>
      </w:r>
    </w:p>
    <w:p w14:paraId="3A1D55E1">
      <w:pPr>
        <w:pStyle w:val="20"/>
        <w:numPr>
          <w:ilvl w:val="0"/>
          <w:numId w:val="2"/>
        </w:numPr>
        <w:ind w:firstLineChars="0"/>
        <w:rPr>
          <w:rFonts w:hint="default" w:ascii="仿宋" w:hAnsi="仿宋" w:eastAsia="仿宋" w:cs="仿宋"/>
          <w:highlight w:val="none"/>
        </w:rPr>
      </w:pPr>
      <w:r>
        <w:rPr>
          <w:rFonts w:ascii="仿宋" w:hAnsi="仿宋" w:eastAsia="仿宋" w:cs="仿宋"/>
          <w:highlight w:val="none"/>
        </w:rPr>
        <w:t>具有履行合同所必需的设备和专业技术能力；</w:t>
      </w:r>
    </w:p>
    <w:p w14:paraId="111D4091">
      <w:pPr>
        <w:pStyle w:val="20"/>
        <w:numPr>
          <w:ilvl w:val="0"/>
          <w:numId w:val="2"/>
        </w:numPr>
        <w:ind w:firstLineChars="0"/>
        <w:rPr>
          <w:rFonts w:hint="default" w:ascii="仿宋" w:hAnsi="仿宋" w:eastAsia="仿宋" w:cs="仿宋"/>
          <w:highlight w:val="none"/>
        </w:rPr>
      </w:pPr>
      <w:r>
        <w:rPr>
          <w:rFonts w:ascii="仿宋" w:hAnsi="仿宋" w:eastAsia="仿宋" w:cs="仿宋"/>
          <w:highlight w:val="none"/>
        </w:rPr>
        <w:t>有依法缴纳税收和社会保障资金的良好记录；</w:t>
      </w:r>
    </w:p>
    <w:p w14:paraId="5018C783">
      <w:pPr>
        <w:pStyle w:val="20"/>
        <w:numPr>
          <w:ilvl w:val="0"/>
          <w:numId w:val="2"/>
        </w:numPr>
        <w:ind w:firstLineChars="0"/>
        <w:rPr>
          <w:rFonts w:hint="default" w:ascii="仿宋" w:hAnsi="仿宋" w:eastAsia="仿宋" w:cs="仿宋"/>
          <w:highlight w:val="none"/>
        </w:rPr>
      </w:pPr>
      <w:r>
        <w:rPr>
          <w:rFonts w:ascii="仿宋" w:hAnsi="仿宋" w:eastAsia="仿宋" w:cs="仿宋"/>
          <w:highlight w:val="none"/>
        </w:rPr>
        <w:t>参加投标活动前三年内，在经营活动中没有重大违法记录。</w:t>
      </w:r>
    </w:p>
    <w:p w14:paraId="4E5395EB">
      <w:pPr>
        <w:pStyle w:val="20"/>
        <w:ind w:firstLine="420" w:firstLineChars="0"/>
        <w:rPr>
          <w:rFonts w:hint="default" w:ascii="仿宋" w:hAnsi="仿宋" w:eastAsia="仿宋" w:cs="仿宋"/>
          <w:b/>
          <w:bCs/>
          <w:highlight w:val="none"/>
        </w:rPr>
      </w:pPr>
      <w:r>
        <w:rPr>
          <w:rFonts w:ascii="仿宋" w:hAnsi="仿宋" w:eastAsia="仿宋" w:cs="仿宋"/>
          <w:b/>
          <w:bCs/>
          <w:highlight w:val="none"/>
        </w:rPr>
        <w:t>（二）其他说明：</w:t>
      </w:r>
    </w:p>
    <w:p w14:paraId="647C3EC9">
      <w:pPr>
        <w:pStyle w:val="20"/>
        <w:numPr>
          <w:ilvl w:val="0"/>
          <w:numId w:val="3"/>
        </w:numPr>
        <w:ind w:firstLineChars="0"/>
        <w:rPr>
          <w:rFonts w:hint="default" w:ascii="仿宋" w:hAnsi="仿宋" w:eastAsia="仿宋" w:cs="仿宋"/>
          <w:highlight w:val="none"/>
        </w:rPr>
      </w:pPr>
      <w:r>
        <w:rPr>
          <w:rFonts w:ascii="仿宋" w:hAnsi="仿宋" w:eastAsia="仿宋" w:cs="仿宋"/>
          <w:highlight w:val="none"/>
        </w:rPr>
        <w:t>单位负责人为同一人或者存在直接控股、管理关系的不同供应商，不得参加同一合同项目下的政府采购活动；</w:t>
      </w:r>
    </w:p>
    <w:p w14:paraId="6F45BB04">
      <w:pPr>
        <w:pStyle w:val="20"/>
        <w:numPr>
          <w:ilvl w:val="0"/>
          <w:numId w:val="3"/>
        </w:numPr>
        <w:ind w:firstLineChars="0"/>
        <w:rPr>
          <w:rFonts w:hint="default" w:ascii="仿宋" w:hAnsi="仿宋" w:eastAsia="仿宋" w:cs="仿宋"/>
          <w:highlight w:val="none"/>
        </w:rPr>
      </w:pPr>
      <w:r>
        <w:rPr>
          <w:rFonts w:ascii="仿宋" w:hAnsi="仿宋" w:eastAsia="仿宋" w:cs="仿宋"/>
          <w:highlight w:val="none"/>
        </w:rPr>
        <w:t>供应商书面承诺符合参与采购活动资格条件的，不需要再提供财务状况报告、依法缴纳税收和社会保障资金记录、无重大违法记录等证明材料；</w:t>
      </w:r>
    </w:p>
    <w:p w14:paraId="119F53AC">
      <w:pPr>
        <w:pStyle w:val="20"/>
        <w:numPr>
          <w:ilvl w:val="0"/>
          <w:numId w:val="3"/>
        </w:numPr>
        <w:ind w:firstLineChars="0"/>
        <w:rPr>
          <w:rFonts w:hint="default" w:ascii="仿宋" w:hAnsi="仿宋" w:eastAsia="仿宋" w:cs="仿宋"/>
          <w:b/>
          <w:bCs/>
          <w:highlight w:val="none"/>
        </w:rPr>
      </w:pPr>
      <w:r>
        <w:rPr>
          <w:rFonts w:ascii="仿宋" w:hAnsi="仿宋" w:eastAsia="仿宋" w:cs="仿宋"/>
          <w:b/>
          <w:bCs/>
          <w:highlight w:val="none"/>
        </w:rPr>
        <w:t>本次招标不支持联合体投标，不接受分包及备选方案。否则视为无效投标。</w:t>
      </w:r>
    </w:p>
    <w:p w14:paraId="62C4E28D">
      <w:pPr>
        <w:pStyle w:val="19"/>
        <w:rPr>
          <w:rFonts w:hint="default" w:ascii="仿宋" w:hAnsi="仿宋" w:eastAsia="仿宋" w:cs="仿宋"/>
          <w:highlight w:val="none"/>
        </w:rPr>
      </w:pPr>
      <w:r>
        <w:rPr>
          <w:rFonts w:ascii="仿宋" w:hAnsi="仿宋" w:eastAsia="仿宋" w:cs="仿宋"/>
          <w:highlight w:val="none"/>
        </w:rPr>
        <w:t>三、投标文件要求</w:t>
      </w:r>
    </w:p>
    <w:p w14:paraId="70549B77">
      <w:pPr>
        <w:pStyle w:val="20"/>
        <w:ind w:firstLine="420" w:firstLineChars="0"/>
        <w:rPr>
          <w:rFonts w:hint="default" w:ascii="仿宋" w:hAnsi="仿宋" w:eastAsia="仿宋" w:cs="仿宋"/>
          <w:b/>
          <w:bCs/>
          <w:highlight w:val="none"/>
        </w:rPr>
      </w:pPr>
      <w:r>
        <w:rPr>
          <w:rFonts w:ascii="仿宋" w:hAnsi="仿宋" w:eastAsia="仿宋" w:cs="仿宋"/>
          <w:b/>
          <w:bCs/>
          <w:highlight w:val="none"/>
        </w:rPr>
        <w:t>（一）投标文件要求：</w:t>
      </w:r>
    </w:p>
    <w:p w14:paraId="5BDA4B4D">
      <w:pPr>
        <w:pStyle w:val="20"/>
        <w:ind w:firstLine="420" w:firstLineChars="0"/>
        <w:rPr>
          <w:rFonts w:hint="default" w:ascii="仿宋" w:hAnsi="仿宋" w:eastAsia="仿宋" w:cs="仿宋"/>
          <w:highlight w:val="none"/>
        </w:rPr>
      </w:pPr>
      <w:r>
        <w:rPr>
          <w:rFonts w:ascii="仿宋" w:hAnsi="仿宋" w:eastAsia="仿宋" w:cs="仿宋"/>
          <w:b/>
          <w:bCs/>
          <w:highlight w:val="none"/>
        </w:rPr>
        <w:t>投标文件由《资格文件》《技术商务文件》和《报价文件》三部分组成，投标人应按《资格文件》《技术商务文件》和《报价文件》正本各1份、副本各1份编制，三部分文件需分别胶装成册，《报价文件》需单独密封，三部分文件封面及每一页均需加盖供应商公章。所有证件均须真实、有效，原件、复印件均须加盖公章，缺少以上任意一部分文件即作无效标处理。</w:t>
      </w:r>
    </w:p>
    <w:p w14:paraId="4D64C453">
      <w:pPr>
        <w:pStyle w:val="20"/>
        <w:ind w:firstLine="420" w:firstLineChars="0"/>
        <w:rPr>
          <w:rFonts w:hint="default" w:ascii="仿宋" w:hAnsi="仿宋" w:eastAsia="仿宋" w:cs="仿宋"/>
          <w:b/>
          <w:bCs/>
          <w:highlight w:val="none"/>
        </w:rPr>
      </w:pPr>
      <w:r>
        <w:rPr>
          <w:rFonts w:ascii="仿宋" w:hAnsi="仿宋" w:eastAsia="仿宋" w:cs="仿宋"/>
          <w:b/>
          <w:bCs/>
          <w:highlight w:val="none"/>
        </w:rPr>
        <w:t>（二）资格文件：</w:t>
      </w:r>
    </w:p>
    <w:p w14:paraId="71B368D7">
      <w:pPr>
        <w:pStyle w:val="20"/>
        <w:numPr>
          <w:ilvl w:val="0"/>
          <w:numId w:val="4"/>
        </w:numPr>
        <w:ind w:firstLineChars="0"/>
        <w:rPr>
          <w:rFonts w:hint="default" w:ascii="仿宋" w:hAnsi="仿宋" w:eastAsia="仿宋" w:cs="仿宋"/>
          <w:highlight w:val="none"/>
        </w:rPr>
      </w:pPr>
      <w:r>
        <w:rPr>
          <w:rFonts w:ascii="仿宋" w:hAnsi="仿宋" w:eastAsia="仿宋" w:cs="仿宋"/>
          <w:highlight w:val="none"/>
        </w:rPr>
        <w:t>有效的营业执照复印件，非法人企业需提供其他证明材料；</w:t>
      </w:r>
    </w:p>
    <w:p w14:paraId="5467E200">
      <w:pPr>
        <w:pStyle w:val="20"/>
        <w:numPr>
          <w:ilvl w:val="0"/>
          <w:numId w:val="4"/>
        </w:numPr>
        <w:ind w:firstLineChars="0"/>
        <w:rPr>
          <w:rFonts w:hint="default" w:ascii="仿宋" w:hAnsi="仿宋" w:eastAsia="仿宋" w:cs="仿宋"/>
          <w:highlight w:val="none"/>
        </w:rPr>
      </w:pPr>
      <w:r>
        <w:rPr>
          <w:rFonts w:ascii="仿宋" w:hAnsi="仿宋" w:eastAsia="仿宋" w:cs="仿宋"/>
          <w:highlight w:val="none"/>
        </w:rPr>
        <w:t>提供自采购公告发布之日起至开标截止时间止的“信用中国”网站（www.creditchina.gov.cn）、中国政府采购网（www.ccgp.gov.cn）投标人信用查询网页截图；</w:t>
      </w:r>
    </w:p>
    <w:p w14:paraId="1998B15B">
      <w:pPr>
        <w:pStyle w:val="20"/>
        <w:numPr>
          <w:ilvl w:val="0"/>
          <w:numId w:val="4"/>
        </w:numPr>
        <w:ind w:firstLineChars="0"/>
        <w:rPr>
          <w:rFonts w:hint="default" w:ascii="仿宋" w:hAnsi="仿宋" w:eastAsia="仿宋" w:cs="仿宋"/>
          <w:highlight w:val="none"/>
        </w:rPr>
      </w:pPr>
      <w:r>
        <w:rPr>
          <w:rFonts w:ascii="仿宋" w:hAnsi="仿宋" w:eastAsia="仿宋" w:cs="仿宋"/>
          <w:highlight w:val="none"/>
        </w:rPr>
        <w:t>法定代表人身份证复印件；如非法定代表人参与开标，需额外提供法定代表人授权委托书原件、授权委托人身份证复印件；</w:t>
      </w:r>
    </w:p>
    <w:p w14:paraId="400C2AD0">
      <w:pPr>
        <w:pStyle w:val="20"/>
        <w:numPr>
          <w:ilvl w:val="0"/>
          <w:numId w:val="4"/>
        </w:numPr>
        <w:ind w:firstLineChars="0"/>
        <w:rPr>
          <w:rFonts w:hint="default" w:ascii="仿宋" w:hAnsi="仿宋" w:eastAsia="仿宋" w:cs="仿宋"/>
          <w:highlight w:val="none"/>
        </w:rPr>
      </w:pPr>
      <w:r>
        <w:rPr>
          <w:rFonts w:ascii="仿宋" w:hAnsi="仿宋" w:eastAsia="仿宋" w:cs="仿宋"/>
          <w:highlight w:val="none"/>
        </w:rPr>
        <w:t>投标声明书；</w:t>
      </w:r>
    </w:p>
    <w:p w14:paraId="5297B982">
      <w:pPr>
        <w:pStyle w:val="20"/>
        <w:ind w:firstLine="420" w:firstLineChars="0"/>
        <w:rPr>
          <w:rFonts w:hint="default" w:ascii="仿宋" w:hAnsi="仿宋" w:eastAsia="仿宋" w:cs="仿宋"/>
          <w:b/>
          <w:bCs/>
          <w:highlight w:val="none"/>
        </w:rPr>
      </w:pPr>
      <w:r>
        <w:rPr>
          <w:rFonts w:ascii="仿宋" w:hAnsi="仿宋" w:eastAsia="仿宋" w:cs="仿宋"/>
          <w:b/>
          <w:bCs/>
          <w:highlight w:val="none"/>
        </w:rPr>
        <w:t>（三）技术商务文件：</w:t>
      </w:r>
    </w:p>
    <w:p w14:paraId="33ABB235">
      <w:pPr>
        <w:pStyle w:val="20"/>
        <w:numPr>
          <w:ilvl w:val="0"/>
          <w:numId w:val="5"/>
        </w:numPr>
        <w:ind w:firstLineChars="0"/>
        <w:rPr>
          <w:rFonts w:hint="default" w:ascii="仿宋" w:hAnsi="仿宋" w:eastAsia="仿宋" w:cs="仿宋"/>
          <w:highlight w:val="none"/>
        </w:rPr>
      </w:pPr>
      <w:r>
        <w:rPr>
          <w:rFonts w:ascii="仿宋" w:hAnsi="仿宋" w:eastAsia="仿宋" w:cs="仿宋"/>
          <w:highlight w:val="none"/>
        </w:rPr>
        <w:t>评分索引表</w:t>
      </w:r>
      <w:r>
        <w:rPr>
          <w:rFonts w:hint="eastAsia" w:ascii="仿宋" w:hAnsi="仿宋" w:eastAsia="仿宋" w:cs="仿宋"/>
          <w:highlight w:val="none"/>
          <w:lang w:eastAsia="zh-CN"/>
        </w:rPr>
        <w:t>；</w:t>
      </w:r>
    </w:p>
    <w:p w14:paraId="70537ADC">
      <w:pPr>
        <w:pStyle w:val="20"/>
        <w:numPr>
          <w:ilvl w:val="0"/>
          <w:numId w:val="5"/>
        </w:numPr>
        <w:ind w:firstLineChars="0"/>
        <w:rPr>
          <w:rFonts w:hint="default" w:ascii="仿宋" w:hAnsi="仿宋" w:eastAsia="仿宋" w:cs="仿宋"/>
          <w:highlight w:val="none"/>
        </w:rPr>
      </w:pPr>
      <w:r>
        <w:rPr>
          <w:rFonts w:ascii="仿宋" w:hAnsi="仿宋" w:eastAsia="仿宋" w:cs="仿宋"/>
          <w:highlight w:val="none"/>
        </w:rPr>
        <w:t>技术需求响应表</w:t>
      </w:r>
      <w:r>
        <w:rPr>
          <w:rFonts w:hint="eastAsia" w:ascii="仿宋" w:hAnsi="仿宋" w:eastAsia="仿宋" w:cs="仿宋"/>
          <w:highlight w:val="none"/>
          <w:lang w:eastAsia="zh-CN"/>
        </w:rPr>
        <w:t>；</w:t>
      </w:r>
    </w:p>
    <w:p w14:paraId="135C46E8">
      <w:pPr>
        <w:pStyle w:val="20"/>
        <w:numPr>
          <w:ilvl w:val="0"/>
          <w:numId w:val="5"/>
        </w:numPr>
        <w:ind w:firstLineChars="0"/>
        <w:rPr>
          <w:rFonts w:hint="default" w:ascii="仿宋" w:hAnsi="仿宋" w:eastAsia="仿宋" w:cs="仿宋"/>
          <w:highlight w:val="none"/>
        </w:rPr>
      </w:pPr>
      <w:r>
        <w:rPr>
          <w:rFonts w:ascii="仿宋" w:hAnsi="仿宋" w:eastAsia="仿宋" w:cs="仿宋"/>
          <w:highlight w:val="none"/>
        </w:rPr>
        <w:t>商务需求响应表</w:t>
      </w:r>
      <w:r>
        <w:rPr>
          <w:rFonts w:hint="eastAsia" w:ascii="仿宋" w:hAnsi="仿宋" w:eastAsia="仿宋" w:cs="仿宋"/>
          <w:highlight w:val="none"/>
          <w:lang w:eastAsia="zh-CN"/>
        </w:rPr>
        <w:t>；</w:t>
      </w:r>
    </w:p>
    <w:p w14:paraId="2516C169">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项目实施方案</w:t>
      </w:r>
      <w:r>
        <w:rPr>
          <w:rFonts w:hint="eastAsia" w:ascii="仿宋" w:hAnsi="仿宋" w:eastAsia="仿宋" w:cs="仿宋"/>
          <w:highlight w:val="none"/>
          <w:lang w:eastAsia="zh-CN"/>
        </w:rPr>
        <w:t>；</w:t>
      </w:r>
    </w:p>
    <w:p w14:paraId="46657375">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拟投入产品竞争力</w:t>
      </w:r>
      <w:r>
        <w:rPr>
          <w:rFonts w:hint="eastAsia" w:ascii="仿宋" w:hAnsi="仿宋" w:eastAsia="仿宋" w:cs="仿宋"/>
          <w:highlight w:val="none"/>
          <w:lang w:eastAsia="zh-CN"/>
        </w:rPr>
        <w:t>；</w:t>
      </w:r>
    </w:p>
    <w:p w14:paraId="7220E562">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售后服务方案</w:t>
      </w:r>
      <w:r>
        <w:rPr>
          <w:rFonts w:hint="eastAsia" w:ascii="仿宋" w:hAnsi="仿宋" w:eastAsia="仿宋" w:cs="仿宋"/>
          <w:highlight w:val="none"/>
          <w:lang w:eastAsia="zh-CN"/>
        </w:rPr>
        <w:t>；</w:t>
      </w:r>
    </w:p>
    <w:p w14:paraId="4B4263DC">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培训方案</w:t>
      </w:r>
      <w:r>
        <w:rPr>
          <w:rFonts w:hint="eastAsia" w:ascii="仿宋" w:hAnsi="仿宋" w:eastAsia="仿宋" w:cs="仿宋"/>
          <w:highlight w:val="none"/>
          <w:lang w:eastAsia="zh-CN"/>
        </w:rPr>
        <w:t>；</w:t>
      </w:r>
    </w:p>
    <w:p w14:paraId="75316F2C">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其他承诺</w:t>
      </w:r>
      <w:r>
        <w:rPr>
          <w:rFonts w:hint="eastAsia" w:ascii="仿宋" w:hAnsi="仿宋" w:eastAsia="仿宋" w:cs="仿宋"/>
          <w:highlight w:val="none"/>
          <w:lang w:eastAsia="zh-CN"/>
        </w:rPr>
        <w:t>；</w:t>
      </w:r>
    </w:p>
    <w:p w14:paraId="5601561C">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企业实力</w:t>
      </w:r>
      <w:r>
        <w:rPr>
          <w:rFonts w:hint="eastAsia" w:ascii="仿宋" w:hAnsi="仿宋" w:eastAsia="仿宋" w:cs="仿宋"/>
          <w:highlight w:val="none"/>
          <w:lang w:eastAsia="zh-CN"/>
        </w:rPr>
        <w:t>；</w:t>
      </w:r>
    </w:p>
    <w:p w14:paraId="562E587C">
      <w:pPr>
        <w:pStyle w:val="20"/>
        <w:numPr>
          <w:ilvl w:val="0"/>
          <w:numId w:val="5"/>
        </w:numPr>
        <w:ind w:firstLineChars="0"/>
        <w:rPr>
          <w:rFonts w:hint="default" w:ascii="仿宋" w:hAnsi="仿宋" w:eastAsia="仿宋" w:cs="仿宋"/>
          <w:highlight w:val="none"/>
        </w:rPr>
      </w:pPr>
      <w:r>
        <w:rPr>
          <w:rFonts w:hint="default" w:ascii="仿宋" w:hAnsi="仿宋" w:eastAsia="仿宋" w:cs="仿宋"/>
          <w:highlight w:val="none"/>
        </w:rPr>
        <w:t>企业业绩</w:t>
      </w:r>
      <w:r>
        <w:rPr>
          <w:rFonts w:hint="eastAsia" w:ascii="仿宋" w:hAnsi="仿宋" w:eastAsia="仿宋" w:cs="仿宋"/>
          <w:highlight w:val="none"/>
          <w:lang w:eastAsia="zh-CN"/>
        </w:rPr>
        <w:t>；</w:t>
      </w:r>
    </w:p>
    <w:p w14:paraId="73C89549">
      <w:pPr>
        <w:pStyle w:val="20"/>
        <w:numPr>
          <w:ilvl w:val="0"/>
          <w:numId w:val="5"/>
        </w:numPr>
        <w:ind w:firstLineChars="0"/>
        <w:rPr>
          <w:rFonts w:hint="default" w:ascii="仿宋" w:hAnsi="仿宋" w:eastAsia="仿宋" w:cs="仿宋"/>
          <w:highlight w:val="none"/>
        </w:rPr>
      </w:pPr>
      <w:r>
        <w:rPr>
          <w:rFonts w:ascii="仿宋" w:hAnsi="仿宋" w:eastAsia="仿宋" w:cs="仿宋"/>
          <w:highlight w:val="none"/>
        </w:rPr>
        <w:t>其他供应商认为有必要提交的材料。</w:t>
      </w:r>
    </w:p>
    <w:p w14:paraId="467E89C3">
      <w:pPr>
        <w:pStyle w:val="20"/>
        <w:ind w:firstLine="420" w:firstLineChars="0"/>
        <w:rPr>
          <w:rFonts w:hint="default" w:ascii="仿宋" w:hAnsi="仿宋" w:eastAsia="仿宋" w:cs="仿宋"/>
          <w:b/>
          <w:bCs/>
          <w:highlight w:val="none"/>
        </w:rPr>
      </w:pPr>
      <w:r>
        <w:rPr>
          <w:rFonts w:ascii="仿宋" w:hAnsi="仿宋" w:eastAsia="仿宋" w:cs="仿宋"/>
          <w:b/>
          <w:bCs/>
          <w:highlight w:val="none"/>
        </w:rPr>
        <w:t>（四）报价文件：</w:t>
      </w:r>
    </w:p>
    <w:p w14:paraId="139D170C">
      <w:pPr>
        <w:pStyle w:val="20"/>
        <w:keepNext w:val="0"/>
        <w:keepLines w:val="0"/>
        <w:pageBreakBefore w:val="0"/>
        <w:widowControl w:val="0"/>
        <w:numPr>
          <w:ilvl w:val="0"/>
          <w:numId w:val="6"/>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投标响应函；</w:t>
      </w:r>
    </w:p>
    <w:p w14:paraId="018A06E2">
      <w:pPr>
        <w:pStyle w:val="20"/>
        <w:keepNext w:val="0"/>
        <w:keepLines w:val="0"/>
        <w:pageBreakBefore w:val="0"/>
        <w:widowControl w:val="0"/>
        <w:numPr>
          <w:ilvl w:val="0"/>
          <w:numId w:val="6"/>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报价一览表(含人工费、服务费、保险费、管理费、辅材费、食宿费、交通费、税费等完成本项目的全部费用。)</w:t>
      </w:r>
      <w:r>
        <w:rPr>
          <w:rFonts w:hint="eastAsia" w:ascii="仿宋" w:hAnsi="仿宋" w:eastAsia="仿宋" w:cs="仿宋"/>
          <w:highlight w:val="none"/>
          <w:lang w:eastAsia="zh-CN"/>
        </w:rPr>
        <w:t>；</w:t>
      </w:r>
    </w:p>
    <w:p w14:paraId="6DCD2104">
      <w:pPr>
        <w:pStyle w:val="20"/>
        <w:keepNext w:val="0"/>
        <w:keepLines w:val="0"/>
        <w:pageBreakBefore w:val="0"/>
        <w:widowControl w:val="0"/>
        <w:numPr>
          <w:ilvl w:val="0"/>
          <w:numId w:val="6"/>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报价明细表</w:t>
      </w:r>
      <w:r>
        <w:rPr>
          <w:rFonts w:hint="eastAsia" w:ascii="仿宋" w:hAnsi="仿宋" w:eastAsia="仿宋" w:cs="仿宋"/>
          <w:highlight w:val="none"/>
          <w:lang w:eastAsia="zh-CN"/>
        </w:rPr>
        <w:t>；</w:t>
      </w:r>
    </w:p>
    <w:p w14:paraId="41BE85C1">
      <w:pPr>
        <w:pStyle w:val="20"/>
        <w:keepNext w:val="0"/>
        <w:keepLines w:val="0"/>
        <w:pageBreakBefore w:val="0"/>
        <w:widowControl w:val="0"/>
        <w:numPr>
          <w:ilvl w:val="0"/>
          <w:numId w:val="6"/>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hint="default" w:ascii="仿宋" w:hAnsi="仿宋" w:eastAsia="仿宋" w:cs="仿宋"/>
          <w:highlight w:val="none"/>
        </w:rPr>
        <w:t>其他供应商认为有必要提交的材料</w:t>
      </w:r>
      <w:r>
        <w:rPr>
          <w:rFonts w:hint="eastAsia" w:ascii="仿宋" w:hAnsi="仿宋" w:eastAsia="仿宋" w:cs="仿宋"/>
          <w:highlight w:val="none"/>
          <w:lang w:eastAsia="zh-CN"/>
        </w:rPr>
        <w:t>。</w:t>
      </w:r>
    </w:p>
    <w:p w14:paraId="4717A8D9">
      <w:pPr>
        <w:pStyle w:val="20"/>
        <w:keepNext w:val="0"/>
        <w:keepLines w:val="0"/>
        <w:pageBreakBefore w:val="0"/>
        <w:widowControl w:val="0"/>
        <w:kinsoku/>
        <w:wordWrap/>
        <w:overflowPunct/>
        <w:topLinePunct w:val="0"/>
        <w:autoSpaceDE/>
        <w:autoSpaceDN/>
        <w:bidi w:val="0"/>
        <w:adjustRightInd/>
        <w:snapToGrid/>
        <w:ind w:left="0" w:firstLine="482" w:firstLineChars="200"/>
        <w:textAlignment w:val="auto"/>
        <w:rPr>
          <w:rFonts w:hint="default" w:ascii="仿宋" w:hAnsi="仿宋" w:eastAsia="仿宋" w:cs="仿宋"/>
          <w:b/>
          <w:bCs/>
          <w:highlight w:val="none"/>
        </w:rPr>
      </w:pPr>
      <w:r>
        <w:rPr>
          <w:rFonts w:ascii="仿宋" w:hAnsi="仿宋" w:eastAsia="仿宋" w:cs="仿宋"/>
          <w:b/>
          <w:bCs/>
          <w:highlight w:val="none"/>
        </w:rPr>
        <w:t>注：</w:t>
      </w:r>
      <w:r>
        <w:rPr>
          <w:rFonts w:hint="eastAsia" w:ascii="仿宋" w:hAnsi="仿宋" w:eastAsia="仿宋" w:cs="仿宋"/>
          <w:b/>
          <w:bCs/>
          <w:highlight w:val="none"/>
        </w:rPr>
        <w:t>总价金额与按单价汇总金额不一致的，以单价金额计算结果为准。高于采购预算视为无效报价。报价以人民币计，并以大写为准</w:t>
      </w:r>
      <w:r>
        <w:rPr>
          <w:rFonts w:ascii="仿宋" w:hAnsi="仿宋" w:eastAsia="仿宋" w:cs="仿宋"/>
          <w:b/>
          <w:bCs/>
          <w:highlight w:val="none"/>
        </w:rPr>
        <w:t>报价应由法定代表人或其授权代表签字确认并加盖公章。</w:t>
      </w:r>
    </w:p>
    <w:p w14:paraId="2F7D2083">
      <w:pPr>
        <w:pStyle w:val="20"/>
        <w:keepNext w:val="0"/>
        <w:keepLines w:val="0"/>
        <w:pageBreakBefore w:val="0"/>
        <w:widowControl w:val="0"/>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以上材料模板见附件。</w:t>
      </w:r>
    </w:p>
    <w:p w14:paraId="1534C101">
      <w:pPr>
        <w:pStyle w:val="19"/>
        <w:rPr>
          <w:rFonts w:hint="default" w:ascii="仿宋" w:hAnsi="仿宋" w:eastAsia="仿宋" w:cs="仿宋"/>
          <w:highlight w:val="none"/>
        </w:rPr>
      </w:pPr>
      <w:r>
        <w:rPr>
          <w:rFonts w:ascii="仿宋" w:hAnsi="仿宋" w:eastAsia="仿宋" w:cs="仿宋"/>
          <w:highlight w:val="none"/>
        </w:rPr>
        <w:t>四、投标文件递交、开标时间</w:t>
      </w:r>
    </w:p>
    <w:p w14:paraId="54C40529">
      <w:pPr>
        <w:pStyle w:val="20"/>
        <w:ind w:firstLine="420" w:firstLineChars="0"/>
        <w:rPr>
          <w:rFonts w:hint="default" w:ascii="仿宋" w:hAnsi="仿宋" w:eastAsia="仿宋" w:cs="仿宋"/>
          <w:highlight w:val="none"/>
        </w:rPr>
      </w:pPr>
      <w:r>
        <w:rPr>
          <w:rFonts w:ascii="仿宋" w:hAnsi="仿宋" w:eastAsia="仿宋" w:cs="仿宋"/>
          <w:highlight w:val="none"/>
        </w:rPr>
        <w:t>（一）投标文件投递截止时间：202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10</w:t>
      </w:r>
      <w:r>
        <w:rPr>
          <w:rFonts w:ascii="仿宋" w:hAnsi="仿宋" w:eastAsia="仿宋" w:cs="仿宋"/>
          <w:highlight w:val="none"/>
        </w:rPr>
        <w:t>月</w:t>
      </w:r>
      <w:r>
        <w:rPr>
          <w:rFonts w:hint="eastAsia" w:ascii="仿宋" w:hAnsi="仿宋" w:eastAsia="仿宋" w:cs="仿宋"/>
          <w:highlight w:val="none"/>
          <w:lang w:val="en-US" w:eastAsia="zh-CN"/>
        </w:rPr>
        <w:t>16</w:t>
      </w:r>
      <w:r>
        <w:rPr>
          <w:rFonts w:ascii="仿宋" w:hAnsi="仿宋" w:eastAsia="仿宋" w:cs="仿宋"/>
          <w:highlight w:val="none"/>
        </w:rPr>
        <w:t>日下午1</w:t>
      </w:r>
      <w:r>
        <w:rPr>
          <w:rFonts w:hint="eastAsia" w:ascii="仿宋" w:hAnsi="仿宋" w:eastAsia="仿宋" w:cs="仿宋"/>
          <w:highlight w:val="none"/>
          <w:lang w:val="en-US" w:eastAsia="zh-CN"/>
        </w:rPr>
        <w:t>4</w:t>
      </w:r>
      <w:r>
        <w:rPr>
          <w:rFonts w:ascii="仿宋" w:hAnsi="仿宋" w:eastAsia="仿宋" w:cs="仿宋"/>
          <w:highlight w:val="none"/>
        </w:rPr>
        <w:t>:</w:t>
      </w:r>
      <w:r>
        <w:rPr>
          <w:rFonts w:hint="eastAsia" w:ascii="仿宋" w:hAnsi="仿宋" w:eastAsia="仿宋" w:cs="仿宋"/>
          <w:highlight w:val="none"/>
          <w:lang w:val="en-US" w:eastAsia="zh-CN"/>
        </w:rPr>
        <w:t>0</w:t>
      </w:r>
      <w:r>
        <w:rPr>
          <w:rFonts w:ascii="仿宋" w:hAnsi="仿宋" w:eastAsia="仿宋" w:cs="仿宋"/>
          <w:highlight w:val="none"/>
        </w:rPr>
        <w:t>0（投标人迟到视为自动弃标）；</w:t>
      </w:r>
    </w:p>
    <w:p w14:paraId="3FB2C8CC">
      <w:pPr>
        <w:pStyle w:val="20"/>
        <w:ind w:firstLine="420" w:firstLineChars="0"/>
        <w:rPr>
          <w:rFonts w:hint="default" w:ascii="仿宋" w:hAnsi="仿宋" w:eastAsia="仿宋" w:cs="仿宋"/>
          <w:highlight w:val="none"/>
        </w:rPr>
      </w:pPr>
      <w:r>
        <w:rPr>
          <w:rFonts w:ascii="仿宋" w:hAnsi="仿宋" w:eastAsia="仿宋" w:cs="仿宋"/>
          <w:highlight w:val="none"/>
        </w:rPr>
        <w:t>（二）开标时间：202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10</w:t>
      </w:r>
      <w:r>
        <w:rPr>
          <w:rFonts w:ascii="仿宋" w:hAnsi="仿宋" w:eastAsia="仿宋" w:cs="仿宋"/>
          <w:highlight w:val="none"/>
        </w:rPr>
        <w:t>月</w:t>
      </w:r>
      <w:r>
        <w:rPr>
          <w:rFonts w:hint="eastAsia" w:ascii="仿宋" w:hAnsi="仿宋" w:eastAsia="仿宋" w:cs="仿宋"/>
          <w:highlight w:val="none"/>
          <w:lang w:val="en-US" w:eastAsia="zh-CN"/>
        </w:rPr>
        <w:t>16</w:t>
      </w:r>
      <w:r>
        <w:rPr>
          <w:rFonts w:ascii="仿宋" w:hAnsi="仿宋" w:eastAsia="仿宋" w:cs="仿宋"/>
          <w:highlight w:val="none"/>
        </w:rPr>
        <w:t>日下午1</w:t>
      </w:r>
      <w:r>
        <w:rPr>
          <w:rFonts w:hint="eastAsia" w:ascii="仿宋" w:hAnsi="仿宋" w:eastAsia="仿宋" w:cs="仿宋"/>
          <w:highlight w:val="none"/>
          <w:lang w:val="en-US" w:eastAsia="zh-CN"/>
        </w:rPr>
        <w:t>4</w:t>
      </w:r>
      <w:r>
        <w:rPr>
          <w:rFonts w:ascii="仿宋" w:hAnsi="仿宋" w:eastAsia="仿宋" w:cs="仿宋"/>
          <w:highlight w:val="none"/>
        </w:rPr>
        <w:t>:</w:t>
      </w:r>
      <w:r>
        <w:rPr>
          <w:rFonts w:hint="eastAsia" w:ascii="仿宋" w:hAnsi="仿宋" w:eastAsia="仿宋" w:cs="仿宋"/>
          <w:highlight w:val="none"/>
          <w:lang w:val="en-US" w:eastAsia="zh-CN"/>
        </w:rPr>
        <w:t>0</w:t>
      </w:r>
      <w:r>
        <w:rPr>
          <w:rFonts w:ascii="仿宋" w:hAnsi="仿宋" w:eastAsia="仿宋" w:cs="仿宋"/>
          <w:highlight w:val="none"/>
        </w:rPr>
        <w:t>0；</w:t>
      </w:r>
    </w:p>
    <w:p w14:paraId="5B7C7AD2">
      <w:pPr>
        <w:pStyle w:val="20"/>
        <w:ind w:firstLine="420" w:firstLineChars="0"/>
        <w:rPr>
          <w:rFonts w:hint="default" w:ascii="仿宋" w:hAnsi="仿宋" w:eastAsia="仿宋" w:cs="仿宋"/>
          <w:highlight w:val="none"/>
        </w:rPr>
      </w:pPr>
      <w:r>
        <w:rPr>
          <w:rFonts w:ascii="仿宋" w:hAnsi="仿宋" w:eastAsia="仿宋" w:cs="仿宋"/>
          <w:highlight w:val="none"/>
        </w:rPr>
        <w:t>（三）投标文件投递或邮寄地址：湖州市吴兴区</w:t>
      </w:r>
      <w:r>
        <w:rPr>
          <w:rFonts w:hint="eastAsia" w:ascii="仿宋" w:hAnsi="仿宋" w:eastAsia="仿宋" w:cs="仿宋"/>
          <w:highlight w:val="none"/>
          <w:lang w:val="en-US" w:eastAsia="zh-CN"/>
        </w:rPr>
        <w:t>创业大道3333号</w:t>
      </w:r>
      <w:r>
        <w:rPr>
          <w:rFonts w:ascii="仿宋" w:hAnsi="仿宋" w:eastAsia="仿宋" w:cs="仿宋"/>
          <w:highlight w:val="none"/>
        </w:rPr>
        <w:t>湖州学院</w:t>
      </w:r>
      <w:r>
        <w:rPr>
          <w:rFonts w:hint="eastAsia" w:ascii="仿宋" w:hAnsi="仿宋" w:eastAsia="仿宋" w:cs="仿宋"/>
          <w:highlight w:val="none"/>
          <w:lang w:val="en-US" w:eastAsia="zh-CN"/>
        </w:rPr>
        <w:t>22D#209</w:t>
      </w:r>
      <w:r>
        <w:rPr>
          <w:rFonts w:ascii="仿宋" w:hAnsi="仿宋" w:eastAsia="仿宋" w:cs="仿宋"/>
          <w:highlight w:val="none"/>
        </w:rPr>
        <w:t>（接收人：</w:t>
      </w:r>
      <w:r>
        <w:rPr>
          <w:rFonts w:hint="eastAsia" w:ascii="仿宋" w:hAnsi="仿宋" w:eastAsia="仿宋" w:cs="仿宋"/>
          <w:highlight w:val="none"/>
          <w:lang w:val="en-US" w:eastAsia="zh-CN"/>
        </w:rPr>
        <w:t>徐</w:t>
      </w:r>
      <w:r>
        <w:rPr>
          <w:rFonts w:ascii="仿宋" w:hAnsi="仿宋" w:eastAsia="仿宋" w:cs="仿宋"/>
          <w:highlight w:val="none"/>
        </w:rPr>
        <w:t>老师，联系方式：</w:t>
      </w:r>
      <w:r>
        <w:rPr>
          <w:rFonts w:hint="eastAsia" w:ascii="仿宋" w:hAnsi="仿宋" w:eastAsia="仿宋" w:cs="仿宋"/>
          <w:highlight w:val="none"/>
          <w:lang w:val="en-US" w:eastAsia="zh-CN"/>
        </w:rPr>
        <w:t>18768190065</w:t>
      </w:r>
      <w:r>
        <w:rPr>
          <w:rFonts w:ascii="仿宋" w:hAnsi="仿宋" w:eastAsia="仿宋" w:cs="仿宋"/>
          <w:highlight w:val="none"/>
        </w:rPr>
        <w:t>）；</w:t>
      </w:r>
    </w:p>
    <w:p w14:paraId="3E76614A">
      <w:pPr>
        <w:pStyle w:val="20"/>
        <w:ind w:firstLine="420" w:firstLineChars="0"/>
        <w:rPr>
          <w:rFonts w:hint="default" w:ascii="仿宋" w:hAnsi="仿宋" w:eastAsia="仿宋" w:cs="仿宋"/>
          <w:highlight w:val="none"/>
        </w:rPr>
      </w:pPr>
      <w:r>
        <w:rPr>
          <w:rFonts w:ascii="仿宋" w:hAnsi="仿宋" w:eastAsia="仿宋" w:cs="仿宋"/>
          <w:highlight w:val="none"/>
        </w:rPr>
        <w:t>（四）开标地点：</w:t>
      </w:r>
      <w:r>
        <w:rPr>
          <w:rFonts w:hint="eastAsia" w:ascii="仿宋" w:hAnsi="仿宋" w:eastAsia="仿宋" w:cs="仿宋"/>
          <w:highlight w:val="none"/>
        </w:rPr>
        <w:t>湖州市吴兴区创业大道3333号湖州学院</w:t>
      </w:r>
      <w:r>
        <w:rPr>
          <w:rFonts w:hint="eastAsia" w:ascii="仿宋" w:hAnsi="仿宋" w:eastAsia="仿宋" w:cs="仿宋"/>
          <w:highlight w:val="none"/>
          <w:lang w:val="en-US" w:eastAsia="zh-CN"/>
        </w:rPr>
        <w:t>22D#306</w:t>
      </w:r>
      <w:r>
        <w:rPr>
          <w:rFonts w:ascii="仿宋" w:hAnsi="仿宋" w:eastAsia="仿宋" w:cs="仿宋"/>
          <w:highlight w:val="none"/>
        </w:rPr>
        <w:t>。</w:t>
      </w:r>
    </w:p>
    <w:p w14:paraId="55E380E7">
      <w:pPr>
        <w:pStyle w:val="20"/>
        <w:ind w:firstLine="420" w:firstLineChars="0"/>
        <w:rPr>
          <w:rFonts w:hint="default" w:ascii="仿宋" w:hAnsi="仿宋" w:eastAsia="仿宋" w:cs="仿宋"/>
          <w:highlight w:val="none"/>
        </w:rPr>
      </w:pPr>
      <w:r>
        <w:rPr>
          <w:rFonts w:ascii="仿宋" w:hAnsi="仿宋" w:eastAsia="仿宋" w:cs="仿宋"/>
          <w:highlight w:val="none"/>
        </w:rPr>
        <w:t>注：供应商未现场参与开标，设同默认开标结果。供应商应确保投标文件在邮寄过程密封包装完好，因邮寄过程造成损坏而不符合开标要求的，湖州学院采购事务中心概不负责。</w:t>
      </w:r>
    </w:p>
    <w:p w14:paraId="33535627">
      <w:pPr>
        <w:pStyle w:val="19"/>
        <w:rPr>
          <w:rFonts w:hint="default" w:ascii="仿宋" w:hAnsi="仿宋" w:eastAsia="仿宋" w:cs="仿宋"/>
          <w:highlight w:val="none"/>
        </w:rPr>
      </w:pPr>
      <w:r>
        <w:rPr>
          <w:rFonts w:ascii="仿宋" w:hAnsi="仿宋" w:eastAsia="仿宋" w:cs="仿宋"/>
          <w:highlight w:val="none"/>
        </w:rPr>
        <w:t>五、中标办法</w:t>
      </w:r>
    </w:p>
    <w:p w14:paraId="6EE59427">
      <w:pPr>
        <w:pStyle w:val="20"/>
        <w:ind w:firstLine="420" w:firstLineChars="0"/>
        <w:rPr>
          <w:rFonts w:hint="default" w:ascii="仿宋" w:hAnsi="仿宋" w:eastAsia="仿宋" w:cs="仿宋"/>
          <w:highlight w:val="none"/>
        </w:rPr>
      </w:pPr>
      <w:r>
        <w:rPr>
          <w:rFonts w:ascii="仿宋" w:hAnsi="仿宋" w:eastAsia="仿宋" w:cs="仿宋"/>
          <w:highlight w:val="none"/>
        </w:rPr>
        <w:t>本项目采购</w:t>
      </w:r>
      <w:r>
        <w:rPr>
          <w:rFonts w:ascii="仿宋" w:hAnsi="仿宋" w:eastAsia="仿宋" w:cs="仿宋"/>
          <w:b/>
          <w:bCs/>
          <w:highlight w:val="none"/>
        </w:rPr>
        <w:t>综合评标法</w:t>
      </w:r>
      <w:r>
        <w:rPr>
          <w:rFonts w:ascii="仿宋" w:hAnsi="仿宋" w:eastAsia="仿宋" w:cs="仿宋"/>
          <w:highlight w:val="none"/>
        </w:rPr>
        <w:t>，得分最高供应商为中标人；</w:t>
      </w:r>
    </w:p>
    <w:p w14:paraId="0FBA25FD">
      <w:pPr>
        <w:pStyle w:val="20"/>
        <w:ind w:firstLine="420" w:firstLineChars="0"/>
        <w:rPr>
          <w:rFonts w:hint="default" w:ascii="仿宋" w:hAnsi="仿宋" w:eastAsia="仿宋" w:cs="仿宋"/>
          <w:highlight w:val="none"/>
        </w:rPr>
      </w:pPr>
      <w:r>
        <w:rPr>
          <w:rFonts w:ascii="仿宋" w:hAnsi="仿宋" w:eastAsia="仿宋" w:cs="仿宋"/>
          <w:highlight w:val="none"/>
        </w:rPr>
        <w:t>注：如出现中标人拒签合同，招标人将根据实际情况，采用“按序递补”或“重新招标”的方式重新确定中标人。</w:t>
      </w:r>
    </w:p>
    <w:p w14:paraId="2EC3D5CF">
      <w:pPr>
        <w:pStyle w:val="19"/>
        <w:rPr>
          <w:rFonts w:hint="default" w:ascii="仿宋" w:hAnsi="仿宋" w:eastAsia="仿宋" w:cs="仿宋"/>
          <w:highlight w:val="none"/>
        </w:rPr>
      </w:pPr>
      <w:r>
        <w:rPr>
          <w:rFonts w:ascii="仿宋" w:hAnsi="仿宋" w:eastAsia="仿宋" w:cs="仿宋"/>
          <w:highlight w:val="none"/>
        </w:rPr>
        <w:t>六、付款方式：</w:t>
      </w:r>
    </w:p>
    <w:p w14:paraId="463F3994">
      <w:pPr>
        <w:pStyle w:val="20"/>
        <w:ind w:firstLine="420" w:firstLineChars="0"/>
        <w:rPr>
          <w:rFonts w:hint="default" w:ascii="仿宋" w:hAnsi="仿宋" w:eastAsia="仿宋" w:cs="仿宋"/>
          <w:highlight w:val="none"/>
        </w:rPr>
      </w:pPr>
      <w:r>
        <w:rPr>
          <w:rFonts w:ascii="仿宋" w:hAnsi="仿宋" w:eastAsia="仿宋" w:cs="仿宋"/>
          <w:highlight w:val="none"/>
        </w:rPr>
        <w:t>1.全部货物</w:t>
      </w:r>
      <w:r>
        <w:rPr>
          <w:rFonts w:hint="eastAsia" w:ascii="仿宋" w:hAnsi="仿宋" w:eastAsia="仿宋" w:cs="仿宋"/>
          <w:highlight w:val="none"/>
          <w:lang w:val="en-US" w:eastAsia="zh-CN"/>
        </w:rPr>
        <w:t>交付</w:t>
      </w:r>
      <w:r>
        <w:rPr>
          <w:rFonts w:ascii="仿宋" w:hAnsi="仿宋" w:eastAsia="仿宋" w:cs="仿宋"/>
          <w:highlight w:val="none"/>
        </w:rPr>
        <w:t>、组装、调试完成后进行</w:t>
      </w:r>
      <w:r>
        <w:rPr>
          <w:rFonts w:hint="eastAsia" w:ascii="仿宋" w:hAnsi="仿宋" w:eastAsia="仿宋" w:cs="仿宋"/>
          <w:highlight w:val="none"/>
          <w:lang w:val="en-US" w:eastAsia="zh-CN"/>
        </w:rPr>
        <w:t>验收</w:t>
      </w:r>
      <w:r>
        <w:rPr>
          <w:rFonts w:ascii="仿宋" w:hAnsi="仿宋" w:eastAsia="仿宋" w:cs="仿宋"/>
          <w:highlight w:val="none"/>
        </w:rPr>
        <w:t>，终验合格后</w:t>
      </w:r>
      <w:r>
        <w:rPr>
          <w:rFonts w:hint="eastAsia" w:ascii="仿宋" w:hAnsi="仿宋" w:eastAsia="仿宋" w:cs="仿宋"/>
          <w:highlight w:val="none"/>
          <w:lang w:val="en-US" w:eastAsia="zh-CN"/>
        </w:rPr>
        <w:t>一次性支付全部款项</w:t>
      </w:r>
      <w:r>
        <w:rPr>
          <w:rFonts w:ascii="仿宋" w:hAnsi="仿宋" w:eastAsia="仿宋" w:cs="仿宋"/>
          <w:highlight w:val="none"/>
        </w:rPr>
        <w:t>。（按实际数量结算，最高不超过合同金额）。</w:t>
      </w:r>
    </w:p>
    <w:p w14:paraId="6A3F3DE3">
      <w:pPr>
        <w:pStyle w:val="20"/>
        <w:ind w:firstLine="420" w:firstLineChars="0"/>
        <w:rPr>
          <w:rFonts w:hint="default" w:ascii="仿宋" w:hAnsi="仿宋" w:eastAsia="仿宋" w:cs="仿宋"/>
          <w:highlight w:val="none"/>
        </w:rPr>
      </w:pPr>
      <w:r>
        <w:rPr>
          <w:rFonts w:ascii="仿宋" w:hAnsi="仿宋" w:eastAsia="仿宋" w:cs="仿宋"/>
          <w:highlight w:val="none"/>
        </w:rPr>
        <w:t>2.本项目不收取投标保证金</w:t>
      </w:r>
      <w:r>
        <w:rPr>
          <w:rFonts w:hint="eastAsia" w:ascii="仿宋" w:hAnsi="仿宋" w:eastAsia="仿宋" w:cs="仿宋"/>
          <w:highlight w:val="none"/>
          <w:lang w:eastAsia="zh-CN"/>
        </w:rPr>
        <w:t>、</w:t>
      </w:r>
      <w:r>
        <w:rPr>
          <w:rFonts w:ascii="仿宋" w:hAnsi="仿宋" w:eastAsia="仿宋" w:cs="仿宋"/>
          <w:highlight w:val="none"/>
        </w:rPr>
        <w:t>履约保证金。</w:t>
      </w:r>
    </w:p>
    <w:p w14:paraId="3A6A0408">
      <w:pPr>
        <w:pStyle w:val="19"/>
        <w:rPr>
          <w:rFonts w:hint="default" w:ascii="仿宋" w:hAnsi="仿宋" w:eastAsia="仿宋" w:cs="仿宋"/>
          <w:highlight w:val="none"/>
        </w:rPr>
      </w:pPr>
      <w:r>
        <w:rPr>
          <w:rFonts w:ascii="仿宋" w:hAnsi="仿宋" w:eastAsia="仿宋" w:cs="仿宋"/>
          <w:highlight w:val="none"/>
        </w:rPr>
        <w:t>七、联系方式</w:t>
      </w:r>
    </w:p>
    <w:p w14:paraId="4BF6ABE6">
      <w:pPr>
        <w:pStyle w:val="20"/>
        <w:ind w:firstLine="420" w:firstLineChars="0"/>
        <w:rPr>
          <w:rFonts w:hint="default" w:ascii="仿宋" w:hAnsi="仿宋" w:eastAsia="仿宋" w:cs="仿宋"/>
          <w:highlight w:val="none"/>
        </w:rPr>
      </w:pPr>
      <w:r>
        <w:rPr>
          <w:rFonts w:ascii="仿宋" w:hAnsi="仿宋" w:eastAsia="仿宋" w:cs="仿宋"/>
          <w:highlight w:val="none"/>
        </w:rPr>
        <w:t>采购人：湖州学院</w:t>
      </w:r>
    </w:p>
    <w:p w14:paraId="2584BC1F">
      <w:pPr>
        <w:pStyle w:val="20"/>
        <w:ind w:firstLine="420" w:firstLineChars="0"/>
        <w:rPr>
          <w:rFonts w:hint="eastAsia" w:ascii="仿宋" w:hAnsi="仿宋" w:eastAsia="仿宋" w:cs="仿宋"/>
          <w:highlight w:val="none"/>
        </w:rPr>
      </w:pPr>
      <w:r>
        <w:rPr>
          <w:rFonts w:ascii="仿宋" w:hAnsi="仿宋" w:eastAsia="仿宋" w:cs="仿宋"/>
          <w:highlight w:val="none"/>
          <w:lang w:eastAsia="zh-Hans"/>
        </w:rPr>
        <w:t>项目</w:t>
      </w:r>
      <w:r>
        <w:rPr>
          <w:rFonts w:ascii="仿宋" w:hAnsi="仿宋" w:eastAsia="仿宋" w:cs="仿宋"/>
          <w:highlight w:val="none"/>
        </w:rPr>
        <w:t>联系人：</w:t>
      </w:r>
      <w:r>
        <w:rPr>
          <w:rFonts w:hint="eastAsia" w:ascii="仿宋" w:hAnsi="仿宋" w:eastAsia="仿宋" w:cs="仿宋"/>
          <w:highlight w:val="none"/>
          <w:lang w:val="en-US" w:eastAsia="zh-CN"/>
        </w:rPr>
        <w:t>吴</w:t>
      </w:r>
      <w:r>
        <w:rPr>
          <w:rFonts w:ascii="仿宋" w:hAnsi="仿宋" w:eastAsia="仿宋" w:cs="仿宋"/>
          <w:highlight w:val="none"/>
        </w:rPr>
        <w:t>老师</w:t>
      </w:r>
      <w:r>
        <w:rPr>
          <w:rFonts w:hint="eastAsia" w:ascii="仿宋" w:hAnsi="仿宋" w:eastAsia="仿宋" w:cs="仿宋"/>
          <w:highlight w:val="none"/>
          <w:lang w:val="en-US" w:eastAsia="zh-CN"/>
        </w:rPr>
        <w:t xml:space="preserve">         </w:t>
      </w:r>
      <w:r>
        <w:rPr>
          <w:rFonts w:ascii="仿宋" w:hAnsi="仿宋" w:eastAsia="仿宋" w:cs="仿宋"/>
          <w:highlight w:val="none"/>
        </w:rPr>
        <w:t>联系电话：</w:t>
      </w:r>
      <w:r>
        <w:rPr>
          <w:rFonts w:hint="eastAsia" w:ascii="仿宋" w:hAnsi="仿宋" w:eastAsia="仿宋" w:cs="仿宋"/>
          <w:highlight w:val="none"/>
        </w:rPr>
        <w:t>18458358739</w:t>
      </w:r>
    </w:p>
    <w:p w14:paraId="2E087BFD">
      <w:pPr>
        <w:pStyle w:val="20"/>
        <w:ind w:firstLine="420" w:firstLineChars="0"/>
        <w:rPr>
          <w:rFonts w:hint="default" w:ascii="仿宋" w:hAnsi="仿宋" w:eastAsia="仿宋" w:cs="仿宋"/>
          <w:highlight w:val="none"/>
          <w:lang w:val="en-US" w:eastAsia="zh-CN"/>
        </w:rPr>
      </w:pPr>
      <w:r>
        <w:rPr>
          <w:rFonts w:ascii="仿宋" w:hAnsi="仿宋" w:eastAsia="仿宋" w:cs="仿宋"/>
          <w:highlight w:val="none"/>
        </w:rPr>
        <w:t>质疑联系人：</w:t>
      </w:r>
      <w:r>
        <w:rPr>
          <w:rFonts w:hint="eastAsia" w:ascii="仿宋" w:hAnsi="仿宋" w:eastAsia="仿宋" w:cs="仿宋"/>
          <w:highlight w:val="none"/>
          <w:lang w:val="en-US" w:eastAsia="zh-CN"/>
        </w:rPr>
        <w:t>徐</w:t>
      </w:r>
      <w:r>
        <w:rPr>
          <w:rFonts w:ascii="仿宋" w:hAnsi="仿宋" w:eastAsia="仿宋" w:cs="仿宋"/>
          <w:highlight w:val="none"/>
        </w:rPr>
        <w:t>老师</w:t>
      </w:r>
      <w:r>
        <w:rPr>
          <w:rFonts w:hint="eastAsia" w:ascii="仿宋" w:hAnsi="仿宋" w:eastAsia="仿宋" w:cs="仿宋"/>
          <w:highlight w:val="none"/>
          <w:lang w:val="en-US" w:eastAsia="zh-CN"/>
        </w:rPr>
        <w:t xml:space="preserve">         </w:t>
      </w:r>
      <w:r>
        <w:rPr>
          <w:rFonts w:ascii="仿宋" w:hAnsi="仿宋" w:eastAsia="仿宋" w:cs="仿宋"/>
          <w:highlight w:val="none"/>
        </w:rPr>
        <w:t>联系电话：0572-211</w:t>
      </w:r>
      <w:r>
        <w:rPr>
          <w:rFonts w:hint="eastAsia" w:ascii="仿宋" w:hAnsi="仿宋" w:eastAsia="仿宋" w:cs="仿宋"/>
          <w:highlight w:val="none"/>
          <w:lang w:val="en-US" w:eastAsia="zh-CN"/>
        </w:rPr>
        <w:t>2239</w:t>
      </w:r>
    </w:p>
    <w:p w14:paraId="3FEDFB6F">
      <w:pPr>
        <w:pStyle w:val="20"/>
        <w:ind w:firstLine="420" w:firstLineChars="0"/>
        <w:rPr>
          <w:rFonts w:hint="default" w:ascii="仿宋" w:hAnsi="仿宋" w:eastAsia="仿宋" w:cs="仿宋"/>
          <w:highlight w:val="none"/>
        </w:rPr>
      </w:pPr>
    </w:p>
    <w:p w14:paraId="69C14F02">
      <w:pPr>
        <w:pStyle w:val="19"/>
        <w:rPr>
          <w:rFonts w:hint="default" w:ascii="仿宋" w:hAnsi="仿宋" w:eastAsia="仿宋" w:cs="仿宋"/>
          <w:highlight w:val="none"/>
        </w:rPr>
      </w:pPr>
      <w:r>
        <w:rPr>
          <w:rFonts w:ascii="仿宋" w:hAnsi="仿宋" w:eastAsia="仿宋" w:cs="仿宋"/>
          <w:highlight w:val="none"/>
        </w:rPr>
        <w:t>八：附件：</w:t>
      </w:r>
    </w:p>
    <w:p w14:paraId="6FEE13FF">
      <w:pPr>
        <w:pStyle w:val="20"/>
        <w:ind w:firstLine="420" w:firstLineChars="0"/>
        <w:jc w:val="left"/>
        <w:rPr>
          <w:rFonts w:hint="default" w:ascii="仿宋" w:hAnsi="仿宋" w:eastAsia="仿宋" w:cs="仿宋"/>
          <w:highlight w:val="none"/>
        </w:rPr>
      </w:pPr>
      <w:r>
        <w:rPr>
          <w:rFonts w:ascii="仿宋" w:hAnsi="仿宋" w:eastAsia="仿宋" w:cs="仿宋"/>
          <w:highlight w:val="none"/>
        </w:rPr>
        <w:t>附件</w:t>
      </w:r>
      <w:r>
        <w:rPr>
          <w:rFonts w:hint="eastAsia" w:ascii="仿宋" w:hAnsi="仿宋" w:eastAsia="仿宋" w:cs="仿宋"/>
          <w:highlight w:val="none"/>
          <w:lang w:val="en-US" w:eastAsia="zh-CN"/>
        </w:rPr>
        <w:t>1</w:t>
      </w:r>
      <w:r>
        <w:rPr>
          <w:rFonts w:ascii="仿宋" w:hAnsi="仿宋" w:eastAsia="仿宋" w:cs="仿宋"/>
          <w:highlight w:val="none"/>
        </w:rPr>
        <w:t>：资格文件参考格式</w:t>
      </w:r>
    </w:p>
    <w:p w14:paraId="32554580">
      <w:pPr>
        <w:pStyle w:val="20"/>
        <w:ind w:firstLine="420" w:firstLineChars="0"/>
        <w:jc w:val="left"/>
        <w:rPr>
          <w:rFonts w:hint="default" w:ascii="仿宋" w:hAnsi="仿宋" w:eastAsia="仿宋" w:cs="仿宋"/>
          <w:highlight w:val="none"/>
        </w:rPr>
      </w:pPr>
      <w:r>
        <w:rPr>
          <w:rFonts w:ascii="仿宋" w:hAnsi="仿宋" w:eastAsia="仿宋" w:cs="仿宋"/>
          <w:highlight w:val="none"/>
        </w:rPr>
        <w:t>附件</w:t>
      </w:r>
      <w:r>
        <w:rPr>
          <w:rFonts w:hint="eastAsia" w:ascii="仿宋" w:hAnsi="仿宋" w:eastAsia="仿宋" w:cs="仿宋"/>
          <w:highlight w:val="none"/>
          <w:lang w:val="en-US" w:eastAsia="zh-CN"/>
        </w:rPr>
        <w:t>2</w:t>
      </w:r>
      <w:r>
        <w:rPr>
          <w:rFonts w:ascii="仿宋" w:hAnsi="仿宋" w:eastAsia="仿宋" w:cs="仿宋"/>
          <w:highlight w:val="none"/>
        </w:rPr>
        <w:t>：技术商务文件参考格式</w:t>
      </w:r>
    </w:p>
    <w:p w14:paraId="72559BB5">
      <w:pPr>
        <w:pStyle w:val="20"/>
        <w:ind w:firstLine="420" w:firstLineChars="0"/>
        <w:jc w:val="left"/>
        <w:rPr>
          <w:rFonts w:ascii="仿宋" w:hAnsi="仿宋" w:eastAsia="仿宋" w:cs="仿宋"/>
          <w:highlight w:val="none"/>
        </w:rPr>
      </w:pPr>
      <w:r>
        <w:rPr>
          <w:rFonts w:ascii="仿宋" w:hAnsi="仿宋" w:eastAsia="仿宋" w:cs="仿宋"/>
          <w:highlight w:val="none"/>
        </w:rPr>
        <w:t>附件</w:t>
      </w:r>
      <w:r>
        <w:rPr>
          <w:rFonts w:hint="eastAsia" w:ascii="仿宋" w:hAnsi="仿宋" w:eastAsia="仿宋" w:cs="仿宋"/>
          <w:highlight w:val="none"/>
          <w:lang w:val="en-US" w:eastAsia="zh-CN"/>
        </w:rPr>
        <w:t>3</w:t>
      </w:r>
      <w:r>
        <w:rPr>
          <w:rFonts w:ascii="仿宋" w:hAnsi="仿宋" w:eastAsia="仿宋" w:cs="仿宋"/>
          <w:highlight w:val="none"/>
        </w:rPr>
        <w:t>：报价文件参考格式</w:t>
      </w:r>
    </w:p>
    <w:p w14:paraId="60A2693F">
      <w:pPr>
        <w:pStyle w:val="20"/>
        <w:ind w:firstLine="420" w:firstLineChars="0"/>
        <w:jc w:val="left"/>
        <w:rPr>
          <w:rFonts w:hint="default" w:ascii="仿宋" w:hAnsi="仿宋" w:eastAsia="仿宋" w:cs="仿宋"/>
          <w:highlight w:val="none"/>
          <w:lang w:val="en-US" w:eastAsia="zh-CN"/>
        </w:rPr>
      </w:pPr>
      <w:r>
        <w:rPr>
          <w:rFonts w:hint="eastAsia" w:ascii="仿宋" w:hAnsi="仿宋" w:eastAsia="仿宋" w:cs="仿宋"/>
          <w:highlight w:val="none"/>
          <w:lang w:val="en-US" w:eastAsia="zh-CN"/>
        </w:rPr>
        <w:t>附件4：合同模板</w:t>
      </w:r>
    </w:p>
    <w:p w14:paraId="23DBEFD4">
      <w:pPr>
        <w:pStyle w:val="20"/>
        <w:ind w:firstLine="420" w:firstLineChars="0"/>
        <w:jc w:val="left"/>
        <w:rPr>
          <w:rFonts w:hint="default" w:ascii="仿宋" w:hAnsi="仿宋" w:eastAsia="仿宋" w:cs="仿宋"/>
          <w:color w:val="FFFFFF" w:themeColor="background1"/>
          <w:highlight w:val="none"/>
          <w:lang w:val="en-US" w:eastAsia="zh-CN"/>
          <w14:textFill>
            <w14:solidFill>
              <w14:schemeClr w14:val="bg1"/>
            </w14:solidFill>
          </w14:textFill>
        </w:rPr>
      </w:pPr>
      <w:r>
        <w:rPr>
          <w:rFonts w:hint="eastAsia" w:ascii="仿宋" w:hAnsi="仿宋" w:eastAsia="仿宋" w:cs="仿宋"/>
          <w:color w:val="FFFFFF" w:themeColor="background1"/>
          <w:highlight w:val="none"/>
          <w:lang w:val="en-US" w:eastAsia="zh-CN"/>
          <w14:textFill>
            <w14:solidFill>
              <w14:schemeClr w14:val="bg1"/>
            </w14:solidFill>
          </w14:textFill>
        </w:rPr>
        <w:t>附件4：合同模板</w:t>
      </w:r>
    </w:p>
    <w:p w14:paraId="1BBF1DED">
      <w:pPr>
        <w:pStyle w:val="20"/>
        <w:ind w:firstLine="420" w:firstLineChars="0"/>
        <w:jc w:val="right"/>
        <w:rPr>
          <w:rFonts w:hint="default" w:ascii="仿宋" w:hAnsi="仿宋" w:eastAsia="仿宋" w:cs="仿宋"/>
          <w:highlight w:val="none"/>
        </w:rPr>
      </w:pPr>
      <w:r>
        <w:rPr>
          <w:rFonts w:ascii="仿宋" w:hAnsi="仿宋" w:eastAsia="仿宋" w:cs="仿宋"/>
          <w:highlight w:val="none"/>
        </w:rPr>
        <w:t>湖州学院采购事务中心</w:t>
      </w:r>
    </w:p>
    <w:p w14:paraId="191769E3">
      <w:pPr>
        <w:pStyle w:val="20"/>
        <w:ind w:firstLine="420" w:firstLineChars="0"/>
        <w:jc w:val="right"/>
        <w:rPr>
          <w:rFonts w:hint="default" w:ascii="仿宋" w:hAnsi="仿宋" w:eastAsia="仿宋" w:cs="仿宋"/>
          <w:highlight w:val="none"/>
        </w:rPr>
        <w:sectPr>
          <w:headerReference r:id="rId3" w:type="default"/>
          <w:footerReference r:id="rId4" w:type="default"/>
          <w:pgSz w:w="11906" w:h="16838"/>
          <w:pgMar w:top="1134" w:right="1531" w:bottom="992" w:left="1531" w:header="851" w:footer="992" w:gutter="0"/>
          <w:pgNumType w:start="1"/>
          <w:cols w:space="0" w:num="1"/>
          <w:docGrid w:type="lines" w:linePitch="312" w:charSpace="0"/>
        </w:sectPr>
      </w:pPr>
      <w:r>
        <w:rPr>
          <w:rFonts w:ascii="仿宋" w:hAnsi="仿宋" w:eastAsia="仿宋" w:cs="仿宋"/>
          <w:highlight w:val="none"/>
        </w:rPr>
        <w:t>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10</w:t>
      </w:r>
      <w:r>
        <w:rPr>
          <w:rFonts w:ascii="仿宋" w:hAnsi="仿宋" w:eastAsia="仿宋" w:cs="仿宋"/>
          <w:highlight w:val="none"/>
        </w:rPr>
        <w:t>月</w:t>
      </w:r>
      <w:r>
        <w:rPr>
          <w:rFonts w:hint="eastAsia" w:ascii="仿宋" w:hAnsi="仿宋" w:eastAsia="仿宋" w:cs="仿宋"/>
          <w:highlight w:val="none"/>
          <w:lang w:val="en-US" w:eastAsia="zh-CN"/>
        </w:rPr>
        <w:t>9</w:t>
      </w:r>
      <w:r>
        <w:rPr>
          <w:rFonts w:ascii="仿宋" w:hAnsi="仿宋" w:eastAsia="仿宋" w:cs="仿宋"/>
          <w:highlight w:val="none"/>
        </w:rPr>
        <w:t>日</w:t>
      </w:r>
    </w:p>
    <w:p w14:paraId="11AEB6F9">
      <w:pPr>
        <w:pStyle w:val="18"/>
        <w:rPr>
          <w:rFonts w:hint="eastAsia" w:ascii="仿宋" w:hAnsi="仿宋" w:eastAsia="仿宋" w:cs="仿宋"/>
          <w:highlight w:val="none"/>
          <w:lang w:val="en-US" w:eastAsia="zh-CN"/>
        </w:rPr>
      </w:pPr>
      <w:r>
        <w:rPr>
          <w:rFonts w:hint="eastAsia" w:ascii="仿宋" w:hAnsi="仿宋" w:eastAsia="仿宋" w:cs="仿宋"/>
          <w:highlight w:val="none"/>
          <w:lang w:val="en-US" w:eastAsia="zh-CN"/>
        </w:rPr>
        <w:t>第二章 采购需求</w:t>
      </w:r>
    </w:p>
    <w:p w14:paraId="5AB9B832">
      <w:pPr>
        <w:pStyle w:val="19"/>
        <w:rPr>
          <w:rFonts w:hint="eastAsia" w:ascii="仿宋" w:hAnsi="仿宋" w:eastAsia="仿宋" w:cs="仿宋"/>
          <w:highlight w:val="none"/>
          <w:lang w:val="en-US" w:eastAsia="zh-CN"/>
        </w:rPr>
      </w:pPr>
      <w:r>
        <w:rPr>
          <w:rFonts w:hint="eastAsia" w:ascii="仿宋" w:hAnsi="仿宋" w:eastAsia="仿宋" w:cs="仿宋"/>
          <w:highlight w:val="none"/>
          <w:lang w:val="en-US" w:eastAsia="zh-CN"/>
        </w:rPr>
        <w:t>一、技术规格概述及其他要求：</w:t>
      </w:r>
    </w:p>
    <w:p w14:paraId="2B1B12A7">
      <w:pPr>
        <w:pStyle w:val="20"/>
        <w:ind w:firstLine="420" w:firstLineChars="0"/>
        <w:rPr>
          <w:rFonts w:hint="eastAsia" w:ascii="仿宋" w:hAnsi="仿宋" w:eastAsia="仿宋" w:cs="仿宋"/>
          <w:highlight w:val="none"/>
        </w:rPr>
      </w:pPr>
      <w:r>
        <w:rPr>
          <w:rFonts w:hint="eastAsia" w:ascii="仿宋" w:hAnsi="仿宋" w:eastAsia="仿宋" w:cs="仿宋"/>
          <w:highlight w:val="none"/>
        </w:rPr>
        <w:t xml:space="preserve">经前期摸排，拟在 3号楼、4号楼、5号楼、15号楼、16 号楼、17号楼、18 号楼、19号楼、21号楼、22号楼等楼宇的公共空间，布设40套智能储物柜。上述点位人流量集中、存放需求明确，且已具备供电与网络接入条件，无需大规模土建改造。 </w:t>
      </w:r>
    </w:p>
    <w:p w14:paraId="3A13D5DE">
      <w:pPr>
        <w:pStyle w:val="19"/>
        <w:rPr>
          <w:rFonts w:hint="eastAsia" w:ascii="仿宋" w:hAnsi="仿宋" w:eastAsia="仿宋" w:cs="仿宋"/>
          <w:highlight w:val="none"/>
          <w:lang w:val="en-US" w:eastAsia="zh-CN"/>
        </w:rPr>
      </w:pPr>
      <w:r>
        <w:rPr>
          <w:rFonts w:hint="eastAsia" w:ascii="仿宋" w:hAnsi="仿宋" w:eastAsia="仿宋" w:cs="仿宋"/>
          <w:highlight w:val="none"/>
          <w:lang w:val="en-US" w:eastAsia="zh-CN"/>
        </w:rPr>
        <w:t>二、商务要求：</w:t>
      </w:r>
    </w:p>
    <w:p w14:paraId="1088E216">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1.支付方式：</w:t>
      </w:r>
    </w:p>
    <w:p w14:paraId="3C666E46">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1.全部货物交付、组装、调试完成后进行验收，终验合格后一次性支付全部款项。（按实际数量结算，最高不超过合同金额）。</w:t>
      </w:r>
    </w:p>
    <w:p w14:paraId="2C02EA33">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2.运输、保管、保险：</w:t>
      </w:r>
    </w:p>
    <w:p w14:paraId="0A1A8F58">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（1）中标人负责货物运至采购人指定位置所发生的所有费用，包括运输费、装卸费、保险费、垃圾清运费等。</w:t>
      </w:r>
    </w:p>
    <w:p w14:paraId="7A550AB4">
      <w:pPr>
        <w:pStyle w:val="20"/>
        <w:ind w:firstLine="420" w:firstLineChars="0"/>
        <w:rPr>
          <w:rFonts w:hint="default" w:ascii="仿宋" w:hAnsi="仿宋" w:eastAsia="仿宋" w:cs="仿宋"/>
          <w:highlight w:val="none"/>
          <w:lang w:val="en-US" w:eastAsia="zh-CN"/>
        </w:rPr>
      </w:pPr>
      <w:r>
        <w:rPr>
          <w:rFonts w:hint="eastAsia" w:ascii="仿宋" w:hAnsi="仿宋" w:eastAsia="仿宋" w:cs="仿宋"/>
          <w:highlight w:val="none"/>
          <w:lang w:val="en-US" w:eastAsia="zh-CN"/>
        </w:rPr>
        <w:t>（2）货物在安装、调试、验收合格前的保管由中标人负责。</w:t>
      </w:r>
    </w:p>
    <w:p w14:paraId="2DBDEA95">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3.验收</w:t>
      </w:r>
    </w:p>
    <w:p w14:paraId="425D6147">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（1）验收由采购人与中标人及相关监督人员依国家有关验收质量标准、本项目合同、设计图纸及有关附件要求进行。</w:t>
      </w:r>
    </w:p>
    <w:p w14:paraId="2C7B9835">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（2）验收标准</w:t>
      </w:r>
    </w:p>
    <w:p w14:paraId="1BCB65A8">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2.1.所供产品的规格、数量符合招标文件投标人投标承诺及合同约定的要求。</w:t>
      </w:r>
    </w:p>
    <w:p w14:paraId="673BD443">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2.2.所供产品的材质、颜色符合招标文件投标人投标承诺及合同约定的要求。</w:t>
      </w:r>
    </w:p>
    <w:p w14:paraId="10CB3171">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2.3.所供产品的外观完好，无严重碰撞、表皮脱落、五金件生锈等明显瑕疵。</w:t>
      </w:r>
    </w:p>
    <w:p w14:paraId="4D9476C4">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2.4.所供产品结构牢固，无安全隐患。</w:t>
      </w:r>
    </w:p>
    <w:p w14:paraId="67E95479">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2.5.所有产品均已运输至指定地点。</w:t>
      </w:r>
    </w:p>
    <w:p w14:paraId="0E506D90">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4.售后服务</w:t>
      </w:r>
    </w:p>
    <w:p w14:paraId="4EB34E1C">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（1）投标人必须有可靠的售后服务保障，能提供正常的技术、备品备件服务。</w:t>
      </w:r>
    </w:p>
    <w:p w14:paraId="28BE4F5A">
      <w:pPr>
        <w:ind w:firstLine="480" w:firstLineChars="200"/>
        <w:rPr>
          <w:rFonts w:hint="eastAsia" w:ascii="仿宋" w:hAnsi="仿宋" w:eastAsia="仿宋" w:cs="仿宋"/>
          <w:highlight w:val="none"/>
          <w:lang w:val="en-US" w:eastAsia="zh-CN"/>
        </w:rPr>
      </w:pPr>
      <w:r>
        <w:rPr>
          <w:rFonts w:hint="eastAsia" w:ascii="仿宋" w:hAnsi="仿宋" w:eastAsia="仿宋" w:cs="仿宋"/>
          <w:sz w:val="24"/>
          <w:highlight w:val="none"/>
          <w:lang w:val="en-US" w:eastAsia="zh-CN"/>
        </w:rPr>
        <w:t>（2）保修期内，中标人提供的产品定期进行维护承担规定的年度检验费用；</w:t>
      </w:r>
      <w:r>
        <w:rPr>
          <w:rFonts w:hint="eastAsia" w:ascii="仿宋" w:hAnsi="仿宋" w:eastAsia="仿宋" w:cs="仿宋"/>
          <w:kern w:val="2"/>
          <w:sz w:val="24"/>
          <w:szCs w:val="24"/>
          <w:highlight w:val="none"/>
          <w:lang w:val="en-US" w:eastAsia="zh-CN" w:bidi="ar-SA"/>
        </w:rPr>
        <w:t>保修期内，乙方应指定至少1名专职技术人员作为本项目专属联络员，提供7×24小时电话响应服务。如需现场支持，该人员应在接到通知后2小时内到达现场，</w:t>
      </w:r>
      <w:r>
        <w:rPr>
          <w:rFonts w:hint="eastAsia" w:ascii="仿宋" w:hAnsi="仿宋" w:eastAsia="仿宋" w:cs="仿宋"/>
          <w:sz w:val="24"/>
          <w:highlight w:val="none"/>
        </w:rPr>
        <w:t>4小时排除故障（如需更换配件12小时内完成）</w:t>
      </w:r>
      <w:r>
        <w:rPr>
          <w:rFonts w:hint="eastAsia" w:ascii="仿宋" w:hAnsi="仿宋" w:eastAsia="仿宋" w:cs="仿宋"/>
          <w:kern w:val="2"/>
          <w:sz w:val="24"/>
          <w:szCs w:val="24"/>
          <w:highlight w:val="none"/>
          <w:lang w:val="en-US" w:eastAsia="zh-CN" w:bidi="ar-SA"/>
        </w:rPr>
        <w:t>。若故障频发，乙方应增派人员常驻学院直至问题解决。</w:t>
      </w:r>
    </w:p>
    <w:p w14:paraId="6DFE79D6">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5.供货要求：</w:t>
      </w:r>
    </w:p>
    <w:p w14:paraId="6C762C1A">
      <w:pPr>
        <w:pStyle w:val="20"/>
        <w:ind w:firstLine="420" w:firstLineChars="0"/>
        <w:rPr>
          <w:rFonts w:hint="eastAsia" w:ascii="仿宋" w:hAnsi="仿宋" w:eastAsia="仿宋" w:cs="仿宋"/>
          <w:highlight w:val="none"/>
          <w:lang w:eastAsia="zh-CN"/>
          <w:woUserID w:val="1"/>
        </w:rPr>
      </w:pPr>
      <w:r>
        <w:rPr>
          <w:rFonts w:hint="eastAsia" w:ascii="仿宋" w:hAnsi="仿宋" w:eastAsia="仿宋" w:cs="仿宋"/>
          <w:highlight w:val="none"/>
          <w:lang w:val="en-US" w:eastAsia="zh-CN"/>
        </w:rPr>
        <w:t>（1）</w:t>
      </w:r>
      <w:r>
        <w:rPr>
          <w:rFonts w:hint="eastAsia" w:ascii="仿宋" w:hAnsi="仿宋" w:eastAsia="仿宋" w:cs="仿宋"/>
          <w:highlight w:val="none"/>
        </w:rPr>
        <w:t>交货期限：</w:t>
      </w:r>
      <w:r>
        <w:rPr>
          <w:rFonts w:hint="eastAsia" w:ascii="仿宋" w:hAnsi="仿宋" w:eastAsia="仿宋" w:cs="仿宋"/>
          <w:highlight w:val="none"/>
          <w:woUserID w:val="1"/>
        </w:rPr>
        <w:t>中标通知书发出之日起10个工作日内完成全部 40 套柜体供货、安装与调试工作</w:t>
      </w:r>
      <w:r>
        <w:rPr>
          <w:rFonts w:hint="eastAsia" w:ascii="仿宋" w:hAnsi="仿宋" w:eastAsia="仿宋" w:cs="仿宋"/>
          <w:highlight w:val="none"/>
          <w:lang w:eastAsia="zh-CN"/>
          <w:woUserID w:val="1"/>
        </w:rPr>
        <w:t>；</w:t>
      </w:r>
    </w:p>
    <w:p w14:paraId="79EE4AA8">
      <w:pPr>
        <w:pStyle w:val="20"/>
        <w:ind w:firstLine="420" w:firstLineChars="0"/>
        <w:rPr>
          <w:rFonts w:hint="eastAsia" w:ascii="仿宋" w:hAnsi="仿宋" w:eastAsia="仿宋" w:cs="仿宋"/>
          <w:color w:val="FFFFFF" w:themeColor="background1"/>
          <w:highlight w:val="none"/>
          <w:lang w:val="en-US" w:eastAsia="zh-CN"/>
          <w14:textFill>
            <w14:solidFill>
              <w14:schemeClr w14:val="bg1"/>
            </w14:solidFill>
          </w14:textFill>
        </w:rPr>
      </w:pPr>
      <w:r>
        <w:rPr>
          <w:rFonts w:hint="eastAsia" w:ascii="仿宋" w:hAnsi="仿宋" w:eastAsia="仿宋" w:cs="仿宋"/>
          <w:highlight w:val="none"/>
          <w:lang w:eastAsia="zh-CN"/>
          <w:woUserID w:val="1"/>
        </w:rPr>
        <w:t>（</w:t>
      </w:r>
      <w:r>
        <w:rPr>
          <w:rFonts w:hint="eastAsia" w:ascii="仿宋" w:hAnsi="仿宋" w:eastAsia="仿宋" w:cs="仿宋"/>
          <w:highlight w:val="none"/>
          <w:lang w:val="en-US" w:eastAsia="zh-CN"/>
          <w:woUserID w:val="1"/>
        </w:rPr>
        <w:t>2</w:t>
      </w:r>
      <w:r>
        <w:rPr>
          <w:rFonts w:hint="eastAsia" w:ascii="仿宋" w:hAnsi="仿宋" w:eastAsia="仿宋" w:cs="仿宋"/>
          <w:highlight w:val="none"/>
          <w:lang w:eastAsia="zh-CN"/>
          <w:woUserID w:val="1"/>
        </w:rPr>
        <w:t>）</w:t>
      </w:r>
      <w:r>
        <w:rPr>
          <w:rFonts w:hint="eastAsia" w:ascii="仿宋" w:hAnsi="仿宋" w:eastAsia="仿宋" w:cs="仿宋"/>
          <w:highlight w:val="none"/>
          <w:woUserID w:val="1"/>
        </w:rPr>
        <w:t>安装调试过程中涉及的电路改造等工程及相关费用，均由中标单位自行承担。</w:t>
      </w:r>
      <w:r>
        <w:rPr>
          <w:rFonts w:hint="eastAsia" w:ascii="仿宋" w:hAnsi="仿宋" w:eastAsia="仿宋" w:cs="仿宋"/>
          <w:highlight w:val="none"/>
          <w:lang w:val="en-US" w:eastAsia="zh-CN"/>
          <w:woUserID w:val="1"/>
        </w:rPr>
        <w:t>涉及电路改造相关人员需具备相关资质，安装调试过程中涉及的人员安全等责任由中标单位自行承担。</w:t>
      </w:r>
    </w:p>
    <w:p w14:paraId="5D95E51F">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（3）交货地点：采购人指定。</w:t>
      </w:r>
    </w:p>
    <w:p w14:paraId="5294438D">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（4）投标人须按照国家有关标准及规范完成货品的供货、运输保管、装卸、安装（包括货品电气开孔安装等）、调试、检验、无条件提供各项数据资料，保证通过验收。</w:t>
      </w:r>
    </w:p>
    <w:p w14:paraId="777AAC9E">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（5）投标人中标后，在签订合同前需同采购人再次确认货品的数量、尺寸、颜色、材料及货品的平面布置等。</w:t>
      </w:r>
    </w:p>
    <w:p w14:paraId="1864B24B">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6.质保期</w:t>
      </w:r>
    </w:p>
    <w:p w14:paraId="0AB4A11E">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提供免费质保期：1年。</w:t>
      </w:r>
    </w:p>
    <w:p w14:paraId="258383A8">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7.质量保证</w:t>
      </w:r>
    </w:p>
    <w:p w14:paraId="54520B0C">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在保证期内因货物本身的质量问题发生故障，投标人应负责免费修理和更换零部件。对达不到技术要求者，根据实际情况，经双方协商，可按以下办法处理：</w:t>
      </w:r>
    </w:p>
    <w:p w14:paraId="0FDD8A8C">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（a）更换：由投标人承担所发生的全部费用；</w:t>
      </w:r>
    </w:p>
    <w:p w14:paraId="0FA8433D">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（b）退货处理：投标人应退还采购人支付的货物款，同时应承担该货物的直接费用（运输、保险、检验、货款利息及银行手续费等）。</w:t>
      </w:r>
    </w:p>
    <w:p w14:paraId="6D30E2AD">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8.其他说明</w:t>
      </w:r>
    </w:p>
    <w:p w14:paraId="54E75BAC">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采购内容及需求中所指出技术规格、技术参数、材料和功能标准等方面的资料如涉及特定品牌、型号规格或制造商的信息，则仅系技术需求及说明而并非进行限制。投标人可提出替代响应内容，但该替代应相当于或优于采购内容及需求的规定，以满足本次招标要求并使采购人可以接受。</w:t>
      </w:r>
    </w:p>
    <w:p w14:paraId="248D2E25">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（2）投标人须提交证明其拟供货物和服务符合招标文件规定的技术投标文件，文件可以是文字资料、图纸和数据等佐证资料，并提供货物主要技术、结构、性能、功能、特点和质量水平的详细阐述。</w:t>
      </w:r>
    </w:p>
    <w:p w14:paraId="63C034BA">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（3）如投标文件中未提供的相关的佐证资料的或仅对货物技术参数描述“响应”、“正偏离”等情况的，其技术参数不被评审小组认可的风险由投标人自行承担。</w:t>
      </w:r>
    </w:p>
    <w:p w14:paraId="321DE76C">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4）招标文件中关于技术规格、选材、工艺等要求描述中出现不一致的，则以要求高的或货物价值高的为准。供应商提供产品须满足或优于招标文件中技术及品牌要求，如提供优于招标文件中技术及品牌的，须提供有力的比对质检报告。</w:t>
      </w:r>
    </w:p>
    <w:p w14:paraId="3E04C35D">
      <w:pPr>
        <w:pStyle w:val="20"/>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 xml:space="preserve">（5）制作、运输、安装和保管样品所发生的一切费用由投标人自理。 </w:t>
      </w:r>
    </w:p>
    <w:p w14:paraId="047E7B91">
      <w:pPr>
        <w:pStyle w:val="19"/>
        <w:rPr>
          <w:rFonts w:hint="eastAsia" w:ascii="仿宋" w:hAnsi="仿宋" w:eastAsia="仿宋" w:cs="仿宋"/>
          <w:highlight w:val="none"/>
          <w:lang w:val="en-US" w:eastAsia="zh-CN"/>
        </w:rPr>
      </w:pPr>
      <w:r>
        <w:rPr>
          <w:rFonts w:hint="eastAsia" w:ascii="仿宋" w:hAnsi="仿宋" w:eastAsia="仿宋" w:cs="仿宋"/>
          <w:highlight w:val="none"/>
          <w:lang w:val="en-US" w:eastAsia="zh-CN"/>
        </w:rPr>
        <w:t>三、技术参数要求</w:t>
      </w:r>
    </w:p>
    <w:p w14:paraId="65D58BA4">
      <w:pPr>
        <w:keepNext w:val="0"/>
        <w:keepLines w:val="0"/>
        <w:pageBreakBefore w:val="0"/>
        <w:widowControl w:val="0"/>
        <w:numPr>
          <w:ilvl w:val="0"/>
          <w:numId w:val="7"/>
        </w:numPr>
        <w:shd w:val="clear" w:color="auto" w:fill="FFFFFF"/>
        <w:kinsoku/>
        <w:wordWrap/>
        <w:overflowPunct/>
        <w:topLinePunct w:val="0"/>
        <w:autoSpaceDE/>
        <w:autoSpaceDN/>
        <w:bidi w:val="0"/>
        <w:adjustRightInd w:val="0"/>
        <w:snapToGrid/>
        <w:spacing w:after="0" w:line="560" w:lineRule="exact"/>
        <w:ind w:firstLine="560" w:firstLineChars="200"/>
        <w:jc w:val="both"/>
        <w:textAlignment w:val="auto"/>
        <w:rPr>
          <w:rFonts w:hint="eastAsia" w:ascii="仿宋" w:hAnsi="仿宋" w:eastAsia="仿宋" w:cs="仿宋"/>
          <w:color w:val="auto"/>
          <w:kern w:val="2"/>
          <w:sz w:val="28"/>
          <w:szCs w:val="28"/>
          <w:highlight w:val="none"/>
          <w:lang w:val="en-US" w:eastAsia="zh-CN"/>
        </w:rPr>
      </w:pPr>
      <w:r>
        <w:rPr>
          <w:rFonts w:hint="eastAsia" w:ascii="仿宋" w:hAnsi="仿宋" w:eastAsia="仿宋" w:cs="仿宋"/>
          <w:color w:val="000000" w:themeColor="text1"/>
          <w:kern w:val="2"/>
          <w:sz w:val="28"/>
          <w:szCs w:val="28"/>
          <w:highlight w:val="none"/>
          <w:lang w:val="en-US" w:eastAsia="zh-CN"/>
          <w14:textFill>
            <w14:solidFill>
              <w14:schemeClr w14:val="tx1"/>
            </w14:solidFill>
          </w14:textFill>
        </w:rPr>
        <w:t>单套智能储物柜技术要求如下：</w:t>
      </w:r>
    </w:p>
    <w:tbl>
      <w:tblPr>
        <w:tblStyle w:val="15"/>
        <w:tblW w:w="91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8"/>
        <w:gridCol w:w="1581"/>
        <w:gridCol w:w="5192"/>
        <w:gridCol w:w="1316"/>
      </w:tblGrid>
      <w:tr w14:paraId="297C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058" w:type="dxa"/>
            <w:vAlign w:val="center"/>
          </w:tcPr>
          <w:p w14:paraId="0045F4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黑体" w:cs="Times New Roman"/>
                <w:color w:val="auto"/>
                <w:kern w:val="2"/>
                <w:sz w:val="24"/>
                <w:szCs w:val="24"/>
                <w:highlight w:val="none"/>
                <w:lang w:eastAsia="zh-CN"/>
              </w:rPr>
            </w:pPr>
            <w:r>
              <w:rPr>
                <w:rFonts w:hint="eastAsia" w:ascii="Times New Roman" w:hAnsi="Times New Roman" w:eastAsia="黑体" w:cs="Times New Roman"/>
                <w:color w:val="auto"/>
                <w:kern w:val="2"/>
                <w:sz w:val="24"/>
                <w:szCs w:val="24"/>
                <w:highlight w:val="none"/>
                <w:lang w:eastAsia="zh-CN"/>
              </w:rPr>
              <w:t>序号</w:t>
            </w:r>
          </w:p>
        </w:tc>
        <w:tc>
          <w:tcPr>
            <w:tcW w:w="1581" w:type="dxa"/>
            <w:vAlign w:val="center"/>
          </w:tcPr>
          <w:p w14:paraId="359C50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黑体" w:cs="Times New Roman"/>
                <w:color w:val="auto"/>
                <w:kern w:val="2"/>
                <w:sz w:val="24"/>
                <w:szCs w:val="24"/>
                <w:highlight w:val="none"/>
                <w:lang w:eastAsia="zh-CN"/>
              </w:rPr>
            </w:pPr>
            <w:r>
              <w:rPr>
                <w:rFonts w:hint="eastAsia" w:ascii="Times New Roman" w:hAnsi="Times New Roman" w:eastAsia="黑体" w:cs="Times New Roman"/>
                <w:color w:val="auto"/>
                <w:kern w:val="2"/>
                <w:sz w:val="24"/>
                <w:szCs w:val="24"/>
                <w:highlight w:val="none"/>
                <w:lang w:eastAsia="zh-CN"/>
              </w:rPr>
              <w:t>技术项</w:t>
            </w:r>
          </w:p>
        </w:tc>
        <w:tc>
          <w:tcPr>
            <w:tcW w:w="5192" w:type="dxa"/>
            <w:vAlign w:val="center"/>
          </w:tcPr>
          <w:p w14:paraId="11291C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黑体" w:cs="Times New Roman"/>
                <w:color w:val="auto"/>
                <w:kern w:val="2"/>
                <w:sz w:val="24"/>
                <w:szCs w:val="24"/>
                <w:highlight w:val="none"/>
                <w:lang w:eastAsia="zh-CN"/>
              </w:rPr>
            </w:pPr>
            <w:r>
              <w:rPr>
                <w:rFonts w:hint="eastAsia" w:ascii="Times New Roman" w:hAnsi="Times New Roman" w:eastAsia="黑体" w:cs="Times New Roman"/>
                <w:color w:val="auto"/>
                <w:kern w:val="2"/>
                <w:sz w:val="24"/>
                <w:szCs w:val="24"/>
                <w:highlight w:val="none"/>
                <w:lang w:eastAsia="zh-CN"/>
              </w:rPr>
              <w:t>具体要求</w:t>
            </w:r>
          </w:p>
        </w:tc>
        <w:tc>
          <w:tcPr>
            <w:tcW w:w="1316" w:type="dxa"/>
            <w:vAlign w:val="center"/>
          </w:tcPr>
          <w:p w14:paraId="540EC4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黑体" w:cs="Times New Roman"/>
                <w:color w:val="auto"/>
                <w:kern w:val="2"/>
                <w:sz w:val="24"/>
                <w:szCs w:val="24"/>
                <w:highlight w:val="none"/>
                <w:lang w:eastAsia="zh-CN"/>
              </w:rPr>
            </w:pPr>
            <w:r>
              <w:rPr>
                <w:rFonts w:hint="eastAsia" w:ascii="Times New Roman" w:hAnsi="Times New Roman" w:eastAsia="黑体" w:cs="Times New Roman"/>
                <w:color w:val="auto"/>
                <w:kern w:val="2"/>
                <w:sz w:val="24"/>
                <w:szCs w:val="24"/>
                <w:highlight w:val="none"/>
                <w:lang w:eastAsia="zh-CN"/>
              </w:rPr>
              <w:t>备注</w:t>
            </w:r>
          </w:p>
        </w:tc>
      </w:tr>
      <w:tr w14:paraId="530A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dxa"/>
            <w:vAlign w:val="center"/>
          </w:tcPr>
          <w:p w14:paraId="755FDB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1</w:t>
            </w:r>
          </w:p>
        </w:tc>
        <w:tc>
          <w:tcPr>
            <w:tcW w:w="1581" w:type="dxa"/>
            <w:vAlign w:val="center"/>
          </w:tcPr>
          <w:p w14:paraId="35BFC3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材质与结构</w:t>
            </w:r>
          </w:p>
        </w:tc>
        <w:tc>
          <w:tcPr>
            <w:tcW w:w="5192" w:type="dxa"/>
            <w:vAlign w:val="center"/>
          </w:tcPr>
          <w:p w14:paraId="6D96B8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柜体采用</w:t>
            </w:r>
            <w:r>
              <w:rPr>
                <w:rFonts w:hint="eastAsia" w:ascii="仿宋" w:hAnsi="仿宋" w:eastAsia="仿宋" w:cs="仿宋"/>
                <w:color w:val="auto"/>
                <w:kern w:val="2"/>
                <w:sz w:val="24"/>
                <w:szCs w:val="24"/>
                <w:highlight w:val="none"/>
                <w:lang w:val="en-US" w:eastAsia="zh-CN"/>
              </w:rPr>
              <w:t>不低于0.9mm厚度的冷轧钢板</w:t>
            </w:r>
            <w:r>
              <w:rPr>
                <w:rFonts w:hint="eastAsia" w:ascii="仿宋" w:hAnsi="仿宋" w:eastAsia="仿宋" w:cs="仿宋"/>
                <w:color w:val="auto"/>
                <w:kern w:val="2"/>
                <w:sz w:val="24"/>
                <w:szCs w:val="24"/>
                <w:highlight w:val="none"/>
                <w:lang w:eastAsia="zh-CN"/>
              </w:rPr>
              <w:t>，板面平整、厚度均匀，无脱层、无裂纹；整体结构稳固、承重性强，不易弯曲变形；</w:t>
            </w:r>
          </w:p>
        </w:tc>
        <w:tc>
          <w:tcPr>
            <w:tcW w:w="1316" w:type="dxa"/>
          </w:tcPr>
          <w:p w14:paraId="2A44594D">
            <w:pPr>
              <w:keepNext w:val="0"/>
              <w:keepLines w:val="0"/>
              <w:numPr>
                <w:ilvl w:val="0"/>
                <w:numId w:val="0"/>
              </w:numPr>
              <w:suppressLineNumbers w:val="0"/>
              <w:spacing w:before="0" w:beforeAutospacing="0" w:after="0" w:afterAutospacing="0"/>
              <w:ind w:left="0" w:right="0"/>
              <w:rPr>
                <w:rFonts w:hint="eastAsia"/>
                <w:vertAlign w:val="baseline"/>
                <w:lang w:eastAsia="zh-CN"/>
              </w:rPr>
            </w:pPr>
          </w:p>
        </w:tc>
      </w:tr>
      <w:tr w14:paraId="1913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dxa"/>
            <w:vAlign w:val="center"/>
          </w:tcPr>
          <w:p w14:paraId="5D1654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2</w:t>
            </w:r>
          </w:p>
        </w:tc>
        <w:tc>
          <w:tcPr>
            <w:tcW w:w="1581" w:type="dxa"/>
            <w:vAlign w:val="center"/>
          </w:tcPr>
          <w:p w14:paraId="607DCA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柜门配置</w:t>
            </w:r>
          </w:p>
        </w:tc>
        <w:tc>
          <w:tcPr>
            <w:tcW w:w="5192" w:type="dxa"/>
            <w:vAlign w:val="center"/>
          </w:tcPr>
          <w:p w14:paraId="6BE50A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单套5组并联（1主柜+4副柜，单组样式参照下图），单套共40门，单套尺寸不大于：高2000*长5800*深360mm；单柜门净空不小于：高400*长400*深300mm；</w:t>
            </w:r>
          </w:p>
        </w:tc>
        <w:tc>
          <w:tcPr>
            <w:tcW w:w="1316" w:type="dxa"/>
          </w:tcPr>
          <w:p w14:paraId="31F83078">
            <w:pPr>
              <w:keepNext w:val="0"/>
              <w:keepLines w:val="0"/>
              <w:numPr>
                <w:ilvl w:val="0"/>
                <w:numId w:val="0"/>
              </w:numPr>
              <w:suppressLineNumbers w:val="0"/>
              <w:spacing w:before="0" w:beforeAutospacing="0" w:after="0" w:afterAutospacing="0"/>
              <w:ind w:left="0" w:right="0"/>
              <w:rPr>
                <w:rFonts w:hint="eastAsia"/>
                <w:vertAlign w:val="baseline"/>
                <w:lang w:eastAsia="zh-CN"/>
              </w:rPr>
            </w:pPr>
          </w:p>
        </w:tc>
      </w:tr>
      <w:tr w14:paraId="36EA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dxa"/>
            <w:vAlign w:val="center"/>
          </w:tcPr>
          <w:p w14:paraId="3194BF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3</w:t>
            </w:r>
          </w:p>
        </w:tc>
        <w:tc>
          <w:tcPr>
            <w:tcW w:w="1581" w:type="dxa"/>
            <w:vAlign w:val="center"/>
          </w:tcPr>
          <w:p w14:paraId="146854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存取要求</w:t>
            </w:r>
          </w:p>
        </w:tc>
        <w:tc>
          <w:tcPr>
            <w:tcW w:w="5192" w:type="dxa"/>
            <w:vAlign w:val="center"/>
          </w:tcPr>
          <w:p w14:paraId="4F61E4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扫码存取（公众号/小程序），无需卡片、无需钥匙；</w:t>
            </w:r>
          </w:p>
        </w:tc>
        <w:tc>
          <w:tcPr>
            <w:tcW w:w="1316" w:type="dxa"/>
          </w:tcPr>
          <w:p w14:paraId="473C29A0">
            <w:pPr>
              <w:keepNext w:val="0"/>
              <w:keepLines w:val="0"/>
              <w:numPr>
                <w:ilvl w:val="0"/>
                <w:numId w:val="0"/>
              </w:numPr>
              <w:suppressLineNumbers w:val="0"/>
              <w:spacing w:before="0" w:beforeAutospacing="0" w:after="0" w:afterAutospacing="0"/>
              <w:ind w:left="0" w:right="0"/>
              <w:rPr>
                <w:rFonts w:hint="eastAsia"/>
                <w:vertAlign w:val="baseline"/>
                <w:lang w:eastAsia="zh-CN"/>
              </w:rPr>
            </w:pPr>
          </w:p>
        </w:tc>
      </w:tr>
      <w:tr w14:paraId="44E4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dxa"/>
            <w:vAlign w:val="center"/>
          </w:tcPr>
          <w:p w14:paraId="07C76D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4</w:t>
            </w:r>
          </w:p>
        </w:tc>
        <w:tc>
          <w:tcPr>
            <w:tcW w:w="1581" w:type="dxa"/>
            <w:shd w:val="clear" w:color="auto" w:fill="auto"/>
            <w:vAlign w:val="center"/>
          </w:tcPr>
          <w:p w14:paraId="12880C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eastAsia="zh-CN"/>
              </w:rPr>
              <w:t>表面要求</w:t>
            </w:r>
          </w:p>
        </w:tc>
        <w:tc>
          <w:tcPr>
            <w:tcW w:w="5192" w:type="dxa"/>
            <w:shd w:val="clear" w:color="auto" w:fill="auto"/>
            <w:vAlign w:val="center"/>
          </w:tcPr>
          <w:p w14:paraId="647A98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eastAsia="zh-CN"/>
              </w:rPr>
              <w:t>外观无毛刺、无尖锐棱角，安全美观；漆面均匀细腻、无明显色差，附着力强、不易脱漆；耐刮擦、耐腐蚀、防潮防霉。</w:t>
            </w:r>
          </w:p>
        </w:tc>
        <w:tc>
          <w:tcPr>
            <w:tcW w:w="1316" w:type="dxa"/>
          </w:tcPr>
          <w:p w14:paraId="7B9BB906">
            <w:pPr>
              <w:keepNext w:val="0"/>
              <w:keepLines w:val="0"/>
              <w:numPr>
                <w:ilvl w:val="0"/>
                <w:numId w:val="0"/>
              </w:numPr>
              <w:suppressLineNumbers w:val="0"/>
              <w:spacing w:before="0" w:beforeAutospacing="0" w:after="0" w:afterAutospacing="0"/>
              <w:ind w:left="0" w:right="0"/>
              <w:rPr>
                <w:rFonts w:hint="eastAsia"/>
                <w:vertAlign w:val="baseline"/>
                <w:lang w:eastAsia="zh-CN"/>
              </w:rPr>
            </w:pPr>
          </w:p>
        </w:tc>
      </w:tr>
      <w:tr w14:paraId="466C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1058" w:type="dxa"/>
            <w:shd w:val="clear" w:color="auto" w:fill="auto"/>
            <w:vAlign w:val="center"/>
          </w:tcPr>
          <w:p w14:paraId="76C6C6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rPr>
              <w:t>5</w:t>
            </w:r>
          </w:p>
        </w:tc>
        <w:tc>
          <w:tcPr>
            <w:tcW w:w="1581" w:type="dxa"/>
            <w:shd w:val="clear" w:color="auto" w:fill="auto"/>
            <w:vAlign w:val="center"/>
          </w:tcPr>
          <w:p w14:paraId="4FA1E5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rPr>
              <w:t>颜色搭配</w:t>
            </w:r>
          </w:p>
        </w:tc>
        <w:tc>
          <w:tcPr>
            <w:tcW w:w="5192" w:type="dxa"/>
            <w:shd w:val="clear" w:color="auto" w:fill="auto"/>
            <w:vAlign w:val="center"/>
          </w:tcPr>
          <w:p w14:paraId="6ECC4A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eastAsia="zh-CN"/>
                <w:woUserID w:val="0"/>
              </w:rPr>
              <w:t>灰白框+</w:t>
            </w:r>
            <w:r>
              <w:rPr>
                <w:rFonts w:hint="eastAsia" w:ascii="仿宋" w:hAnsi="仿宋" w:eastAsia="仿宋" w:cs="仿宋"/>
                <w:kern w:val="2"/>
                <w:sz w:val="24"/>
                <w:szCs w:val="24"/>
                <w:highlight w:val="none"/>
                <w:lang w:val="en-US" w:eastAsia="zh-CN"/>
                <w:woUserID w:val="0"/>
              </w:rPr>
              <w:t>天蓝色</w:t>
            </w:r>
            <w:r>
              <w:rPr>
                <w:rFonts w:hint="eastAsia" w:ascii="仿宋" w:hAnsi="仿宋" w:eastAsia="仿宋" w:cs="仿宋"/>
                <w:kern w:val="2"/>
                <w:sz w:val="24"/>
                <w:szCs w:val="24"/>
                <w:highlight w:val="none"/>
                <w:lang w:eastAsia="zh-CN"/>
                <w:woUserID w:val="0"/>
              </w:rPr>
              <w:t>门（</w:t>
            </w:r>
            <w:r>
              <w:rPr>
                <w:rFonts w:hint="eastAsia" w:ascii="仿宋" w:hAnsi="仿宋" w:eastAsia="仿宋" w:cs="仿宋"/>
                <w:kern w:val="2"/>
                <w:sz w:val="24"/>
                <w:szCs w:val="24"/>
                <w:highlight w:val="none"/>
                <w:lang w:val="en-US" w:eastAsia="zh-CN"/>
                <w:woUserID w:val="0"/>
              </w:rPr>
              <w:t>22套</w:t>
            </w:r>
            <w:r>
              <w:rPr>
                <w:rFonts w:hint="eastAsia" w:ascii="仿宋" w:hAnsi="仿宋" w:eastAsia="仿宋" w:cs="仿宋"/>
                <w:kern w:val="2"/>
                <w:sz w:val="24"/>
                <w:szCs w:val="24"/>
                <w:highlight w:val="none"/>
                <w:lang w:eastAsia="zh-CN"/>
                <w:woUserID w:val="0"/>
              </w:rPr>
              <w:t>）</w:t>
            </w:r>
            <w:r>
              <w:rPr>
                <w:rFonts w:hint="eastAsia" w:ascii="仿宋" w:hAnsi="仿宋" w:eastAsia="仿宋" w:cs="仿宋"/>
                <w:kern w:val="2"/>
                <w:sz w:val="24"/>
                <w:szCs w:val="24"/>
                <w:highlight w:val="none"/>
                <w:lang w:val="en-US" w:eastAsia="zh-CN"/>
                <w:woUserID w:val="0"/>
              </w:rPr>
              <w:t>/</w:t>
            </w:r>
            <w:r>
              <w:rPr>
                <w:rFonts w:hint="eastAsia" w:ascii="仿宋" w:hAnsi="仿宋" w:eastAsia="仿宋" w:cs="仿宋"/>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woUserID w:val="0"/>
              </w:rPr>
              <w:t>草绿色</w:t>
            </w:r>
            <w:r>
              <w:rPr>
                <w:rFonts w:hint="eastAsia" w:ascii="仿宋" w:hAnsi="仿宋" w:eastAsia="仿宋" w:cs="仿宋"/>
                <w:sz w:val="24"/>
                <w:highlight w:val="none"/>
                <w:vertAlign w:val="baseline"/>
                <w:lang w:eastAsia="zh-CN"/>
                <w:woUserID w:val="0"/>
              </w:rPr>
              <w:t>门（</w:t>
            </w:r>
            <w:r>
              <w:rPr>
                <w:rFonts w:hint="eastAsia" w:ascii="仿宋" w:hAnsi="仿宋" w:eastAsia="仿宋" w:cs="仿宋"/>
                <w:sz w:val="24"/>
                <w:highlight w:val="none"/>
                <w:vertAlign w:val="baseline"/>
                <w:lang w:val="en-US" w:eastAsia="zh-CN"/>
                <w:woUserID w:val="0"/>
              </w:rPr>
              <w:t>2套</w:t>
            </w:r>
            <w:r>
              <w:rPr>
                <w:rFonts w:hint="eastAsia" w:ascii="仿宋" w:hAnsi="仿宋" w:eastAsia="仿宋" w:cs="仿宋"/>
                <w:sz w:val="24"/>
                <w:highlight w:val="none"/>
                <w:vertAlign w:val="baseline"/>
                <w:lang w:eastAsia="zh-CN"/>
                <w:woUserID w:val="0"/>
              </w:rPr>
              <w:t>）</w:t>
            </w:r>
            <w:r>
              <w:rPr>
                <w:rFonts w:hint="eastAsia" w:ascii="仿宋" w:hAnsi="仿宋" w:eastAsia="仿宋" w:cs="仿宋"/>
                <w:sz w:val="24"/>
                <w:highlight w:val="none"/>
                <w:vertAlign w:val="baseline"/>
                <w:lang w:val="en-US" w:eastAsia="zh-CN"/>
                <w:woUserID w:val="0"/>
              </w:rPr>
              <w:t>/</w:t>
            </w:r>
            <w:r>
              <w:rPr>
                <w:rFonts w:hint="eastAsia" w:ascii="仿宋" w:hAnsi="仿宋" w:eastAsia="仿宋" w:cs="仿宋"/>
                <w:sz w:val="24"/>
                <w:highlight w:val="none"/>
                <w:vertAlign w:val="baseline"/>
                <w:lang w:val="en-US" w:eastAsia="zh-CN"/>
              </w:rPr>
              <w:t>黑框</w:t>
            </w:r>
            <w:r>
              <w:rPr>
                <w:rFonts w:hint="eastAsia" w:ascii="仿宋" w:hAnsi="仿宋" w:eastAsia="仿宋" w:cs="仿宋"/>
                <w:sz w:val="24"/>
                <w:highlight w:val="none"/>
                <w:vertAlign w:val="baseline"/>
                <w:lang w:eastAsia="zh-CN"/>
                <w:woUserID w:val="0"/>
              </w:rPr>
              <w:t>+</w:t>
            </w:r>
            <w:r>
              <w:rPr>
                <w:rFonts w:hint="eastAsia" w:ascii="仿宋" w:hAnsi="仿宋" w:eastAsia="仿宋" w:cs="仿宋"/>
                <w:sz w:val="24"/>
                <w:highlight w:val="none"/>
                <w:vertAlign w:val="baseline"/>
                <w:lang w:val="en-US" w:eastAsia="zh-CN"/>
              </w:rPr>
              <w:t>黄门（2套）/</w:t>
            </w:r>
            <w:r>
              <w:rPr>
                <w:rFonts w:hint="eastAsia" w:ascii="仿宋" w:hAnsi="仿宋" w:eastAsia="仿宋" w:cs="仿宋"/>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rPr>
              <w:t>中国红</w:t>
            </w:r>
            <w:r>
              <w:rPr>
                <w:rFonts w:hint="eastAsia" w:ascii="仿宋" w:hAnsi="仿宋" w:eastAsia="仿宋" w:cs="仿宋"/>
                <w:sz w:val="24"/>
                <w:highlight w:val="none"/>
                <w:vertAlign w:val="baseline"/>
                <w:lang w:eastAsia="zh-CN"/>
                <w:woUserID w:val="0"/>
              </w:rPr>
              <w:t>门</w:t>
            </w:r>
            <w:r>
              <w:rPr>
                <w:rFonts w:hint="eastAsia" w:ascii="仿宋" w:hAnsi="仿宋" w:eastAsia="仿宋" w:cs="仿宋"/>
                <w:sz w:val="24"/>
                <w:highlight w:val="none"/>
                <w:vertAlign w:val="baseline"/>
                <w:lang w:val="en-US" w:eastAsia="zh-CN"/>
                <w:woUserID w:val="0"/>
              </w:rPr>
              <w:t>(2套）/</w:t>
            </w:r>
            <w:r>
              <w:rPr>
                <w:rFonts w:hint="eastAsia" w:ascii="仿宋" w:hAnsi="仿宋" w:eastAsia="仿宋" w:cs="仿宋"/>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rPr>
              <w:t>果绿色</w:t>
            </w:r>
            <w:r>
              <w:rPr>
                <w:rFonts w:hint="eastAsia" w:ascii="仿宋" w:hAnsi="仿宋" w:eastAsia="仿宋" w:cs="仿宋"/>
                <w:sz w:val="24"/>
                <w:highlight w:val="none"/>
                <w:vertAlign w:val="baseline"/>
                <w:lang w:eastAsia="zh-CN"/>
                <w:woUserID w:val="0"/>
              </w:rPr>
              <w:t>门（</w:t>
            </w:r>
            <w:r>
              <w:rPr>
                <w:rFonts w:hint="eastAsia" w:ascii="仿宋" w:hAnsi="仿宋" w:eastAsia="仿宋" w:cs="仿宋"/>
                <w:sz w:val="24"/>
                <w:highlight w:val="none"/>
                <w:vertAlign w:val="baseline"/>
                <w:lang w:val="en-US" w:eastAsia="zh-CN"/>
                <w:woUserID w:val="0"/>
              </w:rPr>
              <w:t>4套</w:t>
            </w:r>
            <w:r>
              <w:rPr>
                <w:rFonts w:hint="eastAsia" w:ascii="仿宋" w:hAnsi="仿宋" w:eastAsia="仿宋" w:cs="仿宋"/>
                <w:sz w:val="24"/>
                <w:highlight w:val="none"/>
                <w:vertAlign w:val="baseline"/>
                <w:lang w:eastAsia="zh-CN"/>
                <w:woUserID w:val="0"/>
              </w:rPr>
              <w:t>）</w:t>
            </w:r>
            <w:r>
              <w:rPr>
                <w:rFonts w:hint="eastAsia" w:ascii="仿宋" w:hAnsi="仿宋" w:eastAsia="仿宋" w:cs="仿宋"/>
                <w:sz w:val="24"/>
                <w:highlight w:val="none"/>
                <w:vertAlign w:val="baseline"/>
                <w:lang w:val="en-US" w:eastAsia="zh-CN"/>
                <w:woUserID w:val="0"/>
              </w:rPr>
              <w:t>/</w:t>
            </w:r>
            <w:r>
              <w:rPr>
                <w:rFonts w:hint="eastAsia" w:ascii="仿宋" w:hAnsi="仿宋" w:eastAsia="仿宋" w:cs="仿宋"/>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rPr>
              <w:t>活力橙</w:t>
            </w:r>
            <w:r>
              <w:rPr>
                <w:rFonts w:hint="eastAsia" w:ascii="仿宋" w:hAnsi="仿宋" w:eastAsia="仿宋" w:cs="仿宋"/>
                <w:sz w:val="24"/>
                <w:highlight w:val="none"/>
                <w:vertAlign w:val="baseline"/>
                <w:lang w:eastAsia="zh-CN"/>
                <w:woUserID w:val="0"/>
              </w:rPr>
              <w:t>门（</w:t>
            </w:r>
            <w:r>
              <w:rPr>
                <w:rFonts w:hint="eastAsia" w:ascii="仿宋" w:hAnsi="仿宋" w:eastAsia="仿宋" w:cs="仿宋"/>
                <w:sz w:val="24"/>
                <w:highlight w:val="none"/>
                <w:vertAlign w:val="baseline"/>
                <w:lang w:val="en-US" w:eastAsia="zh-CN"/>
                <w:woUserID w:val="0"/>
              </w:rPr>
              <w:t>3套</w:t>
            </w:r>
            <w:r>
              <w:rPr>
                <w:rFonts w:hint="eastAsia" w:ascii="仿宋" w:hAnsi="仿宋" w:eastAsia="仿宋" w:cs="仿宋"/>
                <w:sz w:val="24"/>
                <w:highlight w:val="none"/>
                <w:vertAlign w:val="baseline"/>
                <w:lang w:eastAsia="zh-CN"/>
                <w:woUserID w:val="0"/>
              </w:rPr>
              <w:t>）</w:t>
            </w:r>
            <w:r>
              <w:rPr>
                <w:rFonts w:hint="eastAsia" w:ascii="仿宋" w:hAnsi="仿宋" w:eastAsia="仿宋" w:cs="仿宋"/>
                <w:sz w:val="24"/>
                <w:highlight w:val="none"/>
                <w:vertAlign w:val="baseline"/>
                <w:lang w:val="en-US" w:eastAsia="zh-CN"/>
                <w:woUserID w:val="0"/>
              </w:rPr>
              <w:t>/</w:t>
            </w:r>
            <w:r>
              <w:rPr>
                <w:rFonts w:hint="eastAsia" w:ascii="仿宋" w:hAnsi="仿宋" w:eastAsia="仿宋" w:cs="仿宋"/>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rPr>
              <w:t>深蓝色</w:t>
            </w:r>
            <w:r>
              <w:rPr>
                <w:rFonts w:hint="eastAsia" w:ascii="仿宋" w:hAnsi="仿宋" w:eastAsia="仿宋" w:cs="仿宋"/>
                <w:sz w:val="24"/>
                <w:highlight w:val="none"/>
                <w:vertAlign w:val="baseline"/>
                <w:lang w:eastAsia="zh-CN"/>
                <w:woUserID w:val="0"/>
              </w:rPr>
              <w:t>门（</w:t>
            </w:r>
            <w:r>
              <w:rPr>
                <w:rFonts w:hint="eastAsia" w:ascii="仿宋" w:hAnsi="仿宋" w:eastAsia="仿宋" w:cs="仿宋"/>
                <w:sz w:val="24"/>
                <w:highlight w:val="none"/>
                <w:vertAlign w:val="baseline"/>
                <w:lang w:val="en-US" w:eastAsia="zh-CN"/>
                <w:woUserID w:val="0"/>
              </w:rPr>
              <w:t>2套</w:t>
            </w:r>
            <w:r>
              <w:rPr>
                <w:rFonts w:hint="eastAsia" w:ascii="仿宋" w:hAnsi="仿宋" w:eastAsia="仿宋" w:cs="仿宋"/>
                <w:sz w:val="24"/>
                <w:highlight w:val="none"/>
                <w:vertAlign w:val="baseline"/>
                <w:lang w:eastAsia="zh-CN"/>
                <w:woUserID w:val="0"/>
              </w:rPr>
              <w:t>）</w:t>
            </w:r>
            <w:r>
              <w:rPr>
                <w:rFonts w:hint="eastAsia" w:ascii="仿宋" w:hAnsi="仿宋" w:eastAsia="仿宋" w:cs="仿宋"/>
                <w:sz w:val="24"/>
                <w:highlight w:val="none"/>
                <w:vertAlign w:val="baseline"/>
                <w:lang w:val="en-US" w:eastAsia="zh-CN"/>
                <w:woUserID w:val="0"/>
              </w:rPr>
              <w:t>/</w:t>
            </w:r>
            <w:r>
              <w:rPr>
                <w:rFonts w:hint="eastAsia" w:ascii="仿宋" w:hAnsi="仿宋" w:eastAsia="仿宋" w:cs="仿宋"/>
                <w:sz w:val="24"/>
                <w:highlight w:val="none"/>
                <w:vertAlign w:val="baseline"/>
                <w:lang w:val="en-US" w:eastAsia="zh-CN"/>
              </w:rPr>
              <w:t>灰白</w:t>
            </w:r>
            <w:r>
              <w:rPr>
                <w:rFonts w:hint="eastAsia" w:ascii="仿宋" w:hAnsi="仿宋" w:eastAsia="仿宋" w:cs="仿宋"/>
                <w:sz w:val="24"/>
                <w:highlight w:val="none"/>
                <w:vertAlign w:val="baseline"/>
                <w:lang w:eastAsia="zh-CN"/>
                <w:woUserID w:val="0"/>
              </w:rPr>
              <w:t>框+</w:t>
            </w:r>
            <w:r>
              <w:rPr>
                <w:rFonts w:hint="eastAsia" w:ascii="仿宋" w:hAnsi="仿宋" w:eastAsia="仿宋" w:cs="仿宋"/>
                <w:sz w:val="24"/>
                <w:highlight w:val="none"/>
                <w:vertAlign w:val="baseline"/>
                <w:lang w:val="en-US" w:eastAsia="zh-CN"/>
                <w:woUserID w:val="0"/>
              </w:rPr>
              <w:t>灰白色</w:t>
            </w:r>
            <w:r>
              <w:rPr>
                <w:rFonts w:hint="eastAsia" w:ascii="仿宋" w:hAnsi="仿宋" w:eastAsia="仿宋" w:cs="仿宋"/>
                <w:sz w:val="24"/>
                <w:highlight w:val="none"/>
                <w:vertAlign w:val="baseline"/>
                <w:lang w:eastAsia="zh-CN"/>
                <w:woUserID w:val="0"/>
              </w:rPr>
              <w:t>门（</w:t>
            </w:r>
            <w:r>
              <w:rPr>
                <w:rFonts w:hint="eastAsia" w:ascii="仿宋" w:hAnsi="仿宋" w:eastAsia="仿宋" w:cs="仿宋"/>
                <w:sz w:val="24"/>
                <w:highlight w:val="none"/>
                <w:vertAlign w:val="baseline"/>
                <w:lang w:val="en-US" w:eastAsia="zh-CN"/>
                <w:woUserID w:val="0"/>
              </w:rPr>
              <w:t>3套</w:t>
            </w:r>
            <w:r>
              <w:rPr>
                <w:rFonts w:hint="eastAsia" w:ascii="仿宋" w:hAnsi="仿宋" w:eastAsia="仿宋" w:cs="仿宋"/>
                <w:sz w:val="24"/>
                <w:highlight w:val="none"/>
                <w:vertAlign w:val="baseline"/>
                <w:lang w:eastAsia="zh-CN"/>
                <w:woUserID w:val="0"/>
              </w:rPr>
              <w:t>）</w:t>
            </w:r>
            <w:r>
              <w:rPr>
                <w:rFonts w:hint="eastAsia" w:ascii="仿宋" w:hAnsi="仿宋" w:eastAsia="仿宋" w:cs="仿宋"/>
                <w:b/>
                <w:bCs/>
                <w:sz w:val="24"/>
                <w:highlight w:val="none"/>
                <w:vertAlign w:val="baseline"/>
                <w:lang w:val="en-US" w:eastAsia="zh-CN"/>
                <w:woUserID w:val="0"/>
              </w:rPr>
              <w:t>中标后提供色卡小样封存。</w:t>
            </w:r>
          </w:p>
        </w:tc>
        <w:tc>
          <w:tcPr>
            <w:tcW w:w="1316" w:type="dxa"/>
          </w:tcPr>
          <w:p w14:paraId="7CAA8AE0">
            <w:pPr>
              <w:keepNext w:val="0"/>
              <w:keepLines w:val="0"/>
              <w:numPr>
                <w:ilvl w:val="0"/>
                <w:numId w:val="0"/>
              </w:numPr>
              <w:suppressLineNumbers w:val="0"/>
              <w:spacing w:before="0" w:beforeAutospacing="0" w:after="0" w:afterAutospacing="0"/>
              <w:ind w:left="0" w:right="0"/>
              <w:rPr>
                <w:rFonts w:hint="eastAsia"/>
                <w:vertAlign w:val="baseline"/>
                <w:lang w:eastAsia="zh-CN"/>
              </w:rPr>
            </w:pPr>
          </w:p>
        </w:tc>
      </w:tr>
    </w:tbl>
    <w:p w14:paraId="6195330E">
      <w:pPr>
        <w:keepNext w:val="0"/>
        <w:keepLines w:val="0"/>
        <w:pageBreakBefore w:val="0"/>
        <w:widowControl w:val="0"/>
        <w:numPr>
          <w:ilvl w:val="-1"/>
          <w:numId w:val="0"/>
        </w:numPr>
        <w:shd w:val="clear" w:color="auto" w:fill="FFFFFF"/>
        <w:kinsoku/>
        <w:wordWrap/>
        <w:overflowPunct/>
        <w:topLinePunct w:val="0"/>
        <w:autoSpaceDE/>
        <w:autoSpaceDN/>
        <w:bidi w:val="0"/>
        <w:adjustRightInd w:val="0"/>
        <w:snapToGrid/>
        <w:spacing w:after="0" w:line="560" w:lineRule="exact"/>
        <w:ind w:firstLine="0" w:firstLineChars="0"/>
        <w:jc w:val="both"/>
        <w:textAlignment w:val="auto"/>
        <w:rPr>
          <w:rFonts w:hint="eastAsia" w:ascii="仿宋" w:hAnsi="仿宋" w:eastAsia="仿宋" w:cs="仿宋"/>
          <w:color w:val="auto"/>
          <w:kern w:val="2"/>
          <w:sz w:val="28"/>
          <w:szCs w:val="28"/>
          <w:highlight w:val="none"/>
          <w:lang w:val="en-US" w:eastAsia="zh-CN"/>
        </w:rPr>
      </w:pPr>
      <w:r>
        <w:rPr>
          <w:rFonts w:hint="eastAsia" w:ascii="仿宋" w:hAnsi="仿宋" w:eastAsia="仿宋" w:cs="仿宋"/>
          <w:color w:val="auto"/>
          <w:kern w:val="2"/>
          <w:sz w:val="28"/>
          <w:szCs w:val="28"/>
          <w:highlight w:val="none"/>
          <w:lang w:val="en-US" w:eastAsia="zh-CN"/>
        </w:rPr>
        <w:t>柜门配置单组样式参照图</w:t>
      </w:r>
    </w:p>
    <w:p w14:paraId="5E48367C">
      <w:pPr>
        <w:keepNext w:val="0"/>
        <w:keepLines w:val="0"/>
        <w:pageBreakBefore w:val="0"/>
        <w:widowControl w:val="0"/>
        <w:numPr>
          <w:ilvl w:val="-1"/>
          <w:numId w:val="0"/>
        </w:numPr>
        <w:shd w:val="clear" w:color="auto" w:fill="FFFFFF"/>
        <w:kinsoku/>
        <w:wordWrap/>
        <w:overflowPunct/>
        <w:topLinePunct w:val="0"/>
        <w:autoSpaceDE/>
        <w:autoSpaceDN/>
        <w:bidi w:val="0"/>
        <w:adjustRightInd w:val="0"/>
        <w:snapToGrid/>
        <w:spacing w:after="0" w:line="560" w:lineRule="exact"/>
        <w:ind w:firstLine="0" w:firstLineChars="0"/>
        <w:jc w:val="both"/>
        <w:textAlignment w:val="auto"/>
        <w:rPr>
          <w:rFonts w:hint="default" w:ascii="仿宋" w:hAnsi="仿宋" w:eastAsia="仿宋" w:cs="仿宋"/>
          <w:color w:val="auto"/>
          <w:kern w:val="2"/>
          <w:sz w:val="28"/>
          <w:szCs w:val="28"/>
          <w:highlight w:val="none"/>
          <w:lang w:val="en-US" w:eastAsia="zh-CN"/>
        </w:rPr>
      </w:pPr>
      <w:r>
        <w:drawing>
          <wp:anchor distT="0" distB="0" distL="114300" distR="114300" simplePos="0" relativeHeight="251659264" behindDoc="1" locked="0" layoutInCell="1" allowOverlap="1">
            <wp:simplePos x="0" y="0"/>
            <wp:positionH relativeFrom="column">
              <wp:posOffset>-1905</wp:posOffset>
            </wp:positionH>
            <wp:positionV relativeFrom="paragraph">
              <wp:posOffset>16510</wp:posOffset>
            </wp:positionV>
            <wp:extent cx="1013460" cy="1558925"/>
            <wp:effectExtent l="0" t="0" r="15240" b="3175"/>
            <wp:wrapTight wrapText="bothSides">
              <wp:wrapPolygon>
                <wp:start x="0" y="0"/>
                <wp:lineTo x="0" y="21380"/>
                <wp:lineTo x="21113" y="21380"/>
                <wp:lineTo x="21113" y="0"/>
                <wp:lineTo x="0" y="0"/>
              </wp:wrapPolygon>
            </wp:wrapTight>
            <wp:docPr id="10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图片 1"/>
                    <pic:cNvPicPr>
                      <a:picLocks noChangeAspect="1"/>
                    </pic:cNvPicPr>
                  </pic:nvPicPr>
                  <pic:blipFill>
                    <a:blip r:embed="rId7"/>
                    <a:srcRect l="7882"/>
                    <a:stretch>
                      <a:fillRect/>
                    </a:stretch>
                  </pic:blipFill>
                  <pic:spPr>
                    <a:xfrm>
                      <a:off x="0" y="0"/>
                      <a:ext cx="1013460" cy="1558925"/>
                    </a:xfrm>
                    <a:prstGeom prst="rect">
                      <a:avLst/>
                    </a:prstGeom>
                    <a:noFill/>
                    <a:ln w="9525">
                      <a:noFill/>
                    </a:ln>
                  </pic:spPr>
                </pic:pic>
              </a:graphicData>
            </a:graphic>
          </wp:anchor>
        </w:drawing>
      </w:r>
    </w:p>
    <w:p w14:paraId="3E0FF526">
      <w:pPr>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spacing w:after="0" w:line="560" w:lineRule="exact"/>
        <w:ind w:firstLine="560" w:firstLineChars="200"/>
        <w:jc w:val="both"/>
        <w:textAlignment w:val="auto"/>
        <w:rPr>
          <w:rFonts w:hint="eastAsia" w:ascii="仿宋" w:hAnsi="仿宋" w:eastAsia="仿宋" w:cs="仿宋"/>
          <w:color w:val="auto"/>
          <w:kern w:val="2"/>
          <w:sz w:val="28"/>
          <w:szCs w:val="28"/>
          <w:highlight w:val="none"/>
          <w:lang w:val="en-US" w:eastAsia="zh-CN"/>
        </w:rPr>
      </w:pPr>
    </w:p>
    <w:p w14:paraId="56D9648D">
      <w:pPr>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spacing w:after="0" w:line="560" w:lineRule="exact"/>
        <w:ind w:firstLine="560" w:firstLineChars="200"/>
        <w:jc w:val="both"/>
        <w:textAlignment w:val="auto"/>
        <w:rPr>
          <w:rFonts w:hint="eastAsia" w:ascii="仿宋" w:hAnsi="仿宋" w:eastAsia="仿宋" w:cs="仿宋"/>
          <w:color w:val="auto"/>
          <w:kern w:val="2"/>
          <w:sz w:val="28"/>
          <w:szCs w:val="28"/>
          <w:highlight w:val="none"/>
          <w:lang w:val="en-US" w:eastAsia="zh-CN"/>
        </w:rPr>
      </w:pPr>
    </w:p>
    <w:p w14:paraId="10BD11DE">
      <w:pPr>
        <w:numPr>
          <w:ilvl w:val="0"/>
          <w:numId w:val="0"/>
        </w:numPr>
        <w:ind w:leftChars="0"/>
        <w:rPr>
          <w:rFonts w:hint="eastAsia"/>
          <w:lang w:eastAsia="zh-CN"/>
        </w:rPr>
      </w:pPr>
    </w:p>
    <w:p w14:paraId="1C10A4D5">
      <w:pPr>
        <w:pStyle w:val="9"/>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spacing w:after="0" w:line="560" w:lineRule="exact"/>
        <w:ind w:firstLine="560" w:firstLineChars="200"/>
        <w:jc w:val="both"/>
        <w:textAlignment w:val="auto"/>
        <w:rPr>
          <w:rFonts w:hint="eastAsia" w:ascii="仿宋" w:hAnsi="仿宋" w:eastAsia="仿宋" w:cs="仿宋"/>
          <w:sz w:val="28"/>
          <w:szCs w:val="28"/>
          <w:highlight w:val="none"/>
          <w:lang w:val="en-US" w:eastAsia="zh-CN"/>
        </w:rPr>
      </w:pPr>
    </w:p>
    <w:p w14:paraId="0690B3B7">
      <w:pPr>
        <w:pStyle w:val="9"/>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spacing w:after="0" w:line="560" w:lineRule="exact"/>
        <w:ind w:firstLine="560" w:firstLineChars="200"/>
        <w:jc w:val="both"/>
        <w:textAlignment w:val="auto"/>
        <w:rPr>
          <w:rFonts w:hint="eastAsia" w:ascii="仿宋" w:hAnsi="仿宋" w:eastAsia="仿宋" w:cs="仿宋"/>
          <w:color w:val="000000" w:themeColor="text1"/>
          <w:kern w:val="2"/>
          <w:sz w:val="28"/>
          <w:szCs w:val="28"/>
          <w:highlight w:val="none"/>
          <w:lang w:val="en-US" w:eastAsia="zh-CN"/>
          <w14:textFill>
            <w14:solidFill>
              <w14:schemeClr w14:val="tx1"/>
            </w14:solidFill>
          </w14:textFill>
        </w:rPr>
      </w:pPr>
      <w:r>
        <w:rPr>
          <w:rFonts w:hint="eastAsia" w:ascii="仿宋" w:hAnsi="仿宋" w:eastAsia="仿宋" w:cs="仿宋"/>
          <w:sz w:val="28"/>
          <w:szCs w:val="28"/>
          <w:highlight w:val="none"/>
          <w:lang w:val="en-US" w:eastAsia="zh-CN"/>
        </w:rPr>
        <w:t>（二）</w:t>
      </w:r>
      <w:r>
        <w:rPr>
          <w:rFonts w:hint="eastAsia" w:ascii="仿宋" w:hAnsi="仿宋" w:eastAsia="仿宋" w:cs="仿宋"/>
          <w:color w:val="000000" w:themeColor="text1"/>
          <w:kern w:val="2"/>
          <w:sz w:val="28"/>
          <w:szCs w:val="28"/>
          <w:highlight w:val="none"/>
          <w:lang w:val="en-US" w:eastAsia="zh-CN"/>
          <w14:textFill>
            <w14:solidFill>
              <w14:schemeClr w14:val="tx1"/>
            </w14:solidFill>
          </w14:textFill>
        </w:rPr>
        <w:t>各楼栋布设分配如下：</w:t>
      </w:r>
    </w:p>
    <w:tbl>
      <w:tblPr>
        <w:tblStyle w:val="15"/>
        <w:tblW w:w="9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2912"/>
        <w:gridCol w:w="1663"/>
        <w:gridCol w:w="2919"/>
      </w:tblGrid>
      <w:tr w14:paraId="3393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jc w:val="center"/>
        </w:trPr>
        <w:tc>
          <w:tcPr>
            <w:tcW w:w="1808" w:type="dxa"/>
            <w:vAlign w:val="center"/>
          </w:tcPr>
          <w:p w14:paraId="7A1F52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黑体" w:cs="Times New Roman"/>
                <w:color w:val="auto"/>
                <w:kern w:val="2"/>
                <w:sz w:val="24"/>
                <w:szCs w:val="24"/>
                <w:highlight w:val="none"/>
                <w:lang w:eastAsia="zh-CN"/>
              </w:rPr>
            </w:pPr>
            <w:r>
              <w:rPr>
                <w:rFonts w:hint="eastAsia" w:ascii="Times New Roman" w:hAnsi="Times New Roman" w:eastAsia="黑体" w:cs="Times New Roman"/>
                <w:color w:val="auto"/>
                <w:kern w:val="2"/>
                <w:sz w:val="24"/>
                <w:szCs w:val="24"/>
                <w:highlight w:val="none"/>
                <w:lang w:eastAsia="zh-CN"/>
              </w:rPr>
              <w:t>序号</w:t>
            </w:r>
          </w:p>
        </w:tc>
        <w:tc>
          <w:tcPr>
            <w:tcW w:w="2912" w:type="dxa"/>
            <w:vAlign w:val="center"/>
          </w:tcPr>
          <w:p w14:paraId="7691E3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黑体" w:cs="Times New Roman"/>
                <w:color w:val="auto"/>
                <w:kern w:val="2"/>
                <w:sz w:val="24"/>
                <w:szCs w:val="24"/>
                <w:highlight w:val="none"/>
                <w:lang w:eastAsia="zh-CN"/>
              </w:rPr>
            </w:pPr>
            <w:r>
              <w:rPr>
                <w:rFonts w:hint="eastAsia" w:eastAsia="黑体" w:cs="Times New Roman"/>
                <w:color w:val="auto"/>
                <w:kern w:val="2"/>
                <w:sz w:val="24"/>
                <w:szCs w:val="24"/>
                <w:highlight w:val="none"/>
                <w:lang w:eastAsia="zh-CN"/>
              </w:rPr>
              <w:t>布设点位</w:t>
            </w:r>
          </w:p>
        </w:tc>
        <w:tc>
          <w:tcPr>
            <w:tcW w:w="1663" w:type="dxa"/>
            <w:vAlign w:val="center"/>
          </w:tcPr>
          <w:p w14:paraId="58C596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黑体" w:cs="Times New Roman"/>
                <w:color w:val="auto"/>
                <w:kern w:val="2"/>
                <w:sz w:val="24"/>
                <w:szCs w:val="24"/>
                <w:highlight w:val="none"/>
                <w:lang w:eastAsia="zh-CN"/>
              </w:rPr>
            </w:pPr>
            <w:r>
              <w:rPr>
                <w:rFonts w:hint="eastAsia" w:eastAsia="黑体" w:cs="Times New Roman"/>
                <w:color w:val="auto"/>
                <w:kern w:val="2"/>
                <w:sz w:val="24"/>
                <w:szCs w:val="24"/>
                <w:highlight w:val="none"/>
                <w:lang w:eastAsia="zh-CN"/>
              </w:rPr>
              <w:t>套数</w:t>
            </w:r>
          </w:p>
        </w:tc>
        <w:tc>
          <w:tcPr>
            <w:tcW w:w="2919" w:type="dxa"/>
            <w:vAlign w:val="center"/>
          </w:tcPr>
          <w:p w14:paraId="189A04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黑体" w:cs="Times New Roman"/>
                <w:color w:val="auto"/>
                <w:kern w:val="2"/>
                <w:sz w:val="24"/>
                <w:szCs w:val="24"/>
                <w:highlight w:val="none"/>
                <w:lang w:eastAsia="zh-CN"/>
              </w:rPr>
            </w:pPr>
            <w:r>
              <w:rPr>
                <w:rFonts w:hint="eastAsia" w:ascii="Times New Roman" w:hAnsi="Times New Roman" w:eastAsia="黑体" w:cs="Times New Roman"/>
                <w:color w:val="auto"/>
                <w:kern w:val="2"/>
                <w:sz w:val="24"/>
                <w:szCs w:val="24"/>
                <w:highlight w:val="none"/>
                <w:lang w:eastAsia="zh-CN"/>
              </w:rPr>
              <w:t>备注</w:t>
            </w:r>
          </w:p>
        </w:tc>
      </w:tr>
      <w:tr w14:paraId="4FF3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67645E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1</w:t>
            </w:r>
          </w:p>
        </w:tc>
        <w:tc>
          <w:tcPr>
            <w:tcW w:w="2912" w:type="dxa"/>
            <w:vAlign w:val="center"/>
          </w:tcPr>
          <w:p w14:paraId="26A591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21A</w:t>
            </w:r>
          </w:p>
        </w:tc>
        <w:tc>
          <w:tcPr>
            <w:tcW w:w="1663" w:type="dxa"/>
            <w:vAlign w:val="center"/>
          </w:tcPr>
          <w:p w14:paraId="0FDFAC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3</w:t>
            </w:r>
          </w:p>
        </w:tc>
        <w:tc>
          <w:tcPr>
            <w:tcW w:w="2919" w:type="dxa"/>
            <w:vMerge w:val="restart"/>
            <w:vAlign w:val="center"/>
          </w:tcPr>
          <w:p w14:paraId="305DD2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eastAsia="zh-CN"/>
                <w:woUserID w:val="0"/>
              </w:rPr>
            </w:pPr>
            <w:r>
              <w:rPr>
                <w:rFonts w:hint="eastAsia" w:ascii="仿宋" w:hAnsi="仿宋" w:eastAsia="仿宋" w:cs="仿宋"/>
                <w:color w:val="auto"/>
                <w:kern w:val="2"/>
                <w:sz w:val="24"/>
                <w:szCs w:val="24"/>
                <w:highlight w:val="none"/>
                <w:lang w:eastAsia="zh-CN"/>
                <w:woUserID w:val="0"/>
              </w:rPr>
              <w:t>灰白框+</w:t>
            </w:r>
            <w:r>
              <w:rPr>
                <w:rFonts w:hint="eastAsia" w:ascii="仿宋" w:hAnsi="仿宋" w:eastAsia="仿宋" w:cs="仿宋"/>
                <w:color w:val="auto"/>
                <w:kern w:val="2"/>
                <w:sz w:val="24"/>
                <w:szCs w:val="24"/>
                <w:highlight w:val="none"/>
                <w:lang w:val="en-US" w:eastAsia="zh-CN"/>
                <w:woUserID w:val="0"/>
              </w:rPr>
              <w:t>天蓝色</w:t>
            </w:r>
            <w:r>
              <w:rPr>
                <w:rFonts w:hint="eastAsia" w:ascii="仿宋" w:hAnsi="仿宋" w:eastAsia="仿宋" w:cs="仿宋"/>
                <w:color w:val="auto"/>
                <w:kern w:val="2"/>
                <w:sz w:val="24"/>
                <w:szCs w:val="24"/>
                <w:highlight w:val="none"/>
                <w:lang w:eastAsia="zh-CN"/>
                <w:woUserID w:val="0"/>
              </w:rPr>
              <w:t>门</w:t>
            </w:r>
          </w:p>
        </w:tc>
      </w:tr>
      <w:tr w14:paraId="582C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7C8DD0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2</w:t>
            </w:r>
          </w:p>
        </w:tc>
        <w:tc>
          <w:tcPr>
            <w:tcW w:w="2912" w:type="dxa"/>
            <w:vAlign w:val="center"/>
          </w:tcPr>
          <w:p w14:paraId="6B3ADF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21B</w:t>
            </w:r>
          </w:p>
        </w:tc>
        <w:tc>
          <w:tcPr>
            <w:tcW w:w="1663" w:type="dxa"/>
            <w:vAlign w:val="center"/>
          </w:tcPr>
          <w:p w14:paraId="5C9A43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4</w:t>
            </w:r>
          </w:p>
        </w:tc>
        <w:tc>
          <w:tcPr>
            <w:tcW w:w="2919" w:type="dxa"/>
            <w:vMerge w:val="continue"/>
            <w:vAlign w:val="center"/>
          </w:tcPr>
          <w:p w14:paraId="0B41BD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sz w:val="24"/>
                <w:highlight w:val="none"/>
                <w:vertAlign w:val="baseline"/>
                <w:lang w:eastAsia="zh-CN"/>
              </w:rPr>
            </w:pPr>
          </w:p>
        </w:tc>
      </w:tr>
      <w:tr w14:paraId="4280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72C2AB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3</w:t>
            </w:r>
          </w:p>
        </w:tc>
        <w:tc>
          <w:tcPr>
            <w:tcW w:w="2912" w:type="dxa"/>
            <w:vAlign w:val="center"/>
          </w:tcPr>
          <w:p w14:paraId="26D7EC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21C</w:t>
            </w:r>
          </w:p>
        </w:tc>
        <w:tc>
          <w:tcPr>
            <w:tcW w:w="1663" w:type="dxa"/>
            <w:vAlign w:val="center"/>
          </w:tcPr>
          <w:p w14:paraId="5E8049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3</w:t>
            </w:r>
          </w:p>
        </w:tc>
        <w:tc>
          <w:tcPr>
            <w:tcW w:w="2919" w:type="dxa"/>
            <w:vMerge w:val="continue"/>
            <w:vAlign w:val="center"/>
          </w:tcPr>
          <w:p w14:paraId="1D79770A">
            <w:pPr>
              <w:keepNext w:val="0"/>
              <w:keepLines w:val="0"/>
              <w:numPr>
                <w:ilvl w:val="-1"/>
                <w:numId w:val="0"/>
              </w:numPr>
              <w:suppressLineNumbers w:val="0"/>
              <w:adjustRightInd w:val="0"/>
              <w:snapToGrid w:val="0"/>
              <w:spacing w:before="0" w:beforeAutospacing="0" w:after="0" w:afterAutospacing="0"/>
              <w:ind w:left="0" w:right="0"/>
              <w:jc w:val="center"/>
              <w:rPr>
                <w:rFonts w:hint="default" w:ascii="仿宋" w:hAnsi="仿宋" w:eastAsia="仿宋" w:cs="仿宋"/>
                <w:sz w:val="24"/>
                <w:highlight w:val="none"/>
                <w:vertAlign w:val="baseline"/>
                <w:lang w:eastAsia="zh-CN"/>
              </w:rPr>
            </w:pPr>
          </w:p>
        </w:tc>
      </w:tr>
      <w:tr w14:paraId="2191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2C3B26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4</w:t>
            </w:r>
          </w:p>
        </w:tc>
        <w:tc>
          <w:tcPr>
            <w:tcW w:w="2912" w:type="dxa"/>
            <w:vAlign w:val="center"/>
          </w:tcPr>
          <w:p w14:paraId="20F02D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21D</w:t>
            </w:r>
          </w:p>
        </w:tc>
        <w:tc>
          <w:tcPr>
            <w:tcW w:w="1663" w:type="dxa"/>
            <w:vAlign w:val="center"/>
          </w:tcPr>
          <w:p w14:paraId="66EBF7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3</w:t>
            </w:r>
          </w:p>
        </w:tc>
        <w:tc>
          <w:tcPr>
            <w:tcW w:w="2919" w:type="dxa"/>
            <w:vMerge w:val="continue"/>
            <w:vAlign w:val="center"/>
          </w:tcPr>
          <w:p w14:paraId="3F6EF87B">
            <w:pPr>
              <w:keepNext w:val="0"/>
              <w:keepLines w:val="0"/>
              <w:numPr>
                <w:ilvl w:val="-1"/>
                <w:numId w:val="0"/>
              </w:numPr>
              <w:suppressLineNumbers w:val="0"/>
              <w:adjustRightInd w:val="0"/>
              <w:snapToGrid w:val="0"/>
              <w:spacing w:before="0" w:beforeAutospacing="0" w:after="0" w:afterAutospacing="0"/>
              <w:ind w:left="0" w:right="0"/>
              <w:jc w:val="center"/>
              <w:rPr>
                <w:rFonts w:hint="default" w:ascii="仿宋" w:hAnsi="仿宋" w:eastAsia="仿宋" w:cs="仿宋"/>
                <w:sz w:val="24"/>
                <w:highlight w:val="none"/>
                <w:vertAlign w:val="baseline"/>
                <w:lang w:eastAsia="zh-CN"/>
              </w:rPr>
            </w:pPr>
          </w:p>
        </w:tc>
      </w:tr>
      <w:tr w14:paraId="2C85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10079A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5</w:t>
            </w:r>
          </w:p>
        </w:tc>
        <w:tc>
          <w:tcPr>
            <w:tcW w:w="2912" w:type="dxa"/>
            <w:vAlign w:val="center"/>
          </w:tcPr>
          <w:p w14:paraId="5F422A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22A</w:t>
            </w:r>
          </w:p>
        </w:tc>
        <w:tc>
          <w:tcPr>
            <w:tcW w:w="1663" w:type="dxa"/>
            <w:vAlign w:val="center"/>
          </w:tcPr>
          <w:p w14:paraId="3D50A5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3</w:t>
            </w:r>
          </w:p>
        </w:tc>
        <w:tc>
          <w:tcPr>
            <w:tcW w:w="2919" w:type="dxa"/>
            <w:vMerge w:val="continue"/>
            <w:vAlign w:val="center"/>
          </w:tcPr>
          <w:p w14:paraId="70963793">
            <w:pPr>
              <w:keepNext w:val="0"/>
              <w:keepLines w:val="0"/>
              <w:numPr>
                <w:ilvl w:val="-1"/>
                <w:numId w:val="0"/>
              </w:numPr>
              <w:suppressLineNumbers w:val="0"/>
              <w:adjustRightInd w:val="0"/>
              <w:snapToGrid w:val="0"/>
              <w:spacing w:before="0" w:beforeAutospacing="0" w:after="0" w:afterAutospacing="0"/>
              <w:ind w:left="0" w:right="0"/>
              <w:jc w:val="center"/>
              <w:rPr>
                <w:rFonts w:hint="default" w:ascii="仿宋" w:hAnsi="仿宋" w:eastAsia="仿宋" w:cs="仿宋"/>
                <w:sz w:val="24"/>
                <w:highlight w:val="none"/>
                <w:vertAlign w:val="baseline"/>
                <w:lang w:eastAsia="zh-CN"/>
              </w:rPr>
            </w:pPr>
          </w:p>
        </w:tc>
      </w:tr>
      <w:tr w14:paraId="261C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68796B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6</w:t>
            </w:r>
          </w:p>
        </w:tc>
        <w:tc>
          <w:tcPr>
            <w:tcW w:w="2912" w:type="dxa"/>
            <w:vAlign w:val="center"/>
          </w:tcPr>
          <w:p w14:paraId="6A040F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22B</w:t>
            </w:r>
          </w:p>
        </w:tc>
        <w:tc>
          <w:tcPr>
            <w:tcW w:w="1663" w:type="dxa"/>
            <w:vAlign w:val="center"/>
          </w:tcPr>
          <w:p w14:paraId="5D3818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3</w:t>
            </w:r>
          </w:p>
        </w:tc>
        <w:tc>
          <w:tcPr>
            <w:tcW w:w="2919" w:type="dxa"/>
            <w:vMerge w:val="continue"/>
            <w:vAlign w:val="center"/>
          </w:tcPr>
          <w:p w14:paraId="498ECC87">
            <w:pPr>
              <w:keepNext w:val="0"/>
              <w:keepLines w:val="0"/>
              <w:numPr>
                <w:ilvl w:val="-1"/>
                <w:numId w:val="0"/>
              </w:numPr>
              <w:suppressLineNumbers w:val="0"/>
              <w:adjustRightInd w:val="0"/>
              <w:snapToGrid w:val="0"/>
              <w:spacing w:before="0" w:beforeAutospacing="0" w:after="0" w:afterAutospacing="0"/>
              <w:ind w:left="0" w:right="0"/>
              <w:jc w:val="center"/>
              <w:rPr>
                <w:rFonts w:hint="default" w:ascii="仿宋" w:hAnsi="仿宋" w:eastAsia="仿宋" w:cs="仿宋"/>
                <w:sz w:val="24"/>
                <w:highlight w:val="none"/>
                <w:vertAlign w:val="baseline"/>
                <w:lang w:eastAsia="zh-CN"/>
              </w:rPr>
            </w:pPr>
          </w:p>
        </w:tc>
      </w:tr>
      <w:tr w14:paraId="5003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4230C2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7</w:t>
            </w:r>
          </w:p>
        </w:tc>
        <w:tc>
          <w:tcPr>
            <w:tcW w:w="2912" w:type="dxa"/>
            <w:vAlign w:val="center"/>
          </w:tcPr>
          <w:p w14:paraId="161028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22C</w:t>
            </w:r>
          </w:p>
        </w:tc>
        <w:tc>
          <w:tcPr>
            <w:tcW w:w="1663" w:type="dxa"/>
            <w:vAlign w:val="center"/>
          </w:tcPr>
          <w:p w14:paraId="5A5FA3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3</w:t>
            </w:r>
          </w:p>
        </w:tc>
        <w:tc>
          <w:tcPr>
            <w:tcW w:w="2919" w:type="dxa"/>
            <w:vMerge w:val="continue"/>
            <w:vAlign w:val="center"/>
          </w:tcPr>
          <w:p w14:paraId="585E312B">
            <w:pPr>
              <w:keepNext w:val="0"/>
              <w:keepLines w:val="0"/>
              <w:numPr>
                <w:ilvl w:val="-1"/>
                <w:numId w:val="0"/>
              </w:numPr>
              <w:suppressLineNumbers w:val="0"/>
              <w:adjustRightInd w:val="0"/>
              <w:snapToGrid w:val="0"/>
              <w:spacing w:before="0" w:beforeAutospacing="0" w:after="0" w:afterAutospacing="0"/>
              <w:ind w:left="0" w:right="0"/>
              <w:jc w:val="center"/>
              <w:rPr>
                <w:rFonts w:hint="default" w:ascii="仿宋" w:hAnsi="仿宋" w:eastAsia="仿宋" w:cs="仿宋"/>
                <w:sz w:val="24"/>
                <w:highlight w:val="none"/>
                <w:vertAlign w:val="baseline"/>
                <w:lang w:eastAsia="zh-CN"/>
              </w:rPr>
            </w:pPr>
          </w:p>
        </w:tc>
      </w:tr>
      <w:tr w14:paraId="11FF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0ED492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8</w:t>
            </w:r>
          </w:p>
        </w:tc>
        <w:tc>
          <w:tcPr>
            <w:tcW w:w="2912" w:type="dxa"/>
            <w:vAlign w:val="center"/>
          </w:tcPr>
          <w:p w14:paraId="79C2D5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3号楼</w:t>
            </w:r>
          </w:p>
        </w:tc>
        <w:tc>
          <w:tcPr>
            <w:tcW w:w="1663" w:type="dxa"/>
            <w:vAlign w:val="center"/>
          </w:tcPr>
          <w:p w14:paraId="441FB2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2</w:t>
            </w:r>
          </w:p>
        </w:tc>
        <w:tc>
          <w:tcPr>
            <w:tcW w:w="2919" w:type="dxa"/>
            <w:vAlign w:val="center"/>
          </w:tcPr>
          <w:p w14:paraId="13A00959">
            <w:pPr>
              <w:keepNext w:val="0"/>
              <w:keepLines w:val="0"/>
              <w:numPr>
                <w:ilvl w:val="-1"/>
                <w:numId w:val="0"/>
              </w:numPr>
              <w:suppressLineNumbers w:val="0"/>
              <w:adjustRightInd w:val="0"/>
              <w:snapToGrid w:val="0"/>
              <w:spacing w:before="0" w:beforeAutospacing="0" w:after="0" w:afterAutospacing="0"/>
              <w:ind w:left="0" w:leftChars="0" w:right="0" w:firstLine="0" w:firstLineChars="0"/>
              <w:jc w:val="center"/>
              <w:rPr>
                <w:rFonts w:hint="eastAsia" w:ascii="仿宋" w:hAnsi="仿宋" w:eastAsia="仿宋" w:cs="仿宋"/>
                <w:sz w:val="24"/>
                <w:highlight w:val="none"/>
                <w:vertAlign w:val="baseline"/>
                <w:lang w:eastAsia="zh-CN"/>
                <w:woUserID w:val="0"/>
              </w:rPr>
            </w:pPr>
            <w:r>
              <w:rPr>
                <w:rFonts w:hint="eastAsia" w:ascii="仿宋" w:hAnsi="仿宋" w:eastAsia="仿宋" w:cs="仿宋"/>
                <w:color w:val="auto"/>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woUserID w:val="0"/>
              </w:rPr>
              <w:t>草绿色</w:t>
            </w:r>
            <w:r>
              <w:rPr>
                <w:rFonts w:hint="eastAsia" w:ascii="仿宋" w:hAnsi="仿宋" w:eastAsia="仿宋" w:cs="仿宋"/>
                <w:sz w:val="24"/>
                <w:highlight w:val="none"/>
                <w:vertAlign w:val="baseline"/>
                <w:lang w:eastAsia="zh-CN"/>
                <w:woUserID w:val="0"/>
              </w:rPr>
              <w:t>门</w:t>
            </w:r>
          </w:p>
        </w:tc>
      </w:tr>
      <w:tr w14:paraId="0F0E0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5E458C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9</w:t>
            </w:r>
          </w:p>
        </w:tc>
        <w:tc>
          <w:tcPr>
            <w:tcW w:w="2912" w:type="dxa"/>
            <w:vAlign w:val="center"/>
          </w:tcPr>
          <w:p w14:paraId="484FE3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4号楼</w:t>
            </w:r>
          </w:p>
        </w:tc>
        <w:tc>
          <w:tcPr>
            <w:tcW w:w="1663" w:type="dxa"/>
            <w:vAlign w:val="center"/>
          </w:tcPr>
          <w:p w14:paraId="6A4ABA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w:t>
            </w:r>
          </w:p>
        </w:tc>
        <w:tc>
          <w:tcPr>
            <w:tcW w:w="2919" w:type="dxa"/>
            <w:vAlign w:val="center"/>
          </w:tcPr>
          <w:p w14:paraId="050929C4">
            <w:pPr>
              <w:keepNext w:val="0"/>
              <w:keepLines w:val="0"/>
              <w:numPr>
                <w:ilvl w:val="-1"/>
                <w:numId w:val="0"/>
              </w:numPr>
              <w:suppressLineNumbers w:val="0"/>
              <w:adjustRightInd w:val="0"/>
              <w:snapToGrid w:val="0"/>
              <w:spacing w:before="0" w:beforeAutospacing="0" w:after="0" w:afterAutospacing="0"/>
              <w:ind w:left="0" w:leftChars="0" w:right="0" w:firstLine="0" w:firstLineChars="0"/>
              <w:jc w:val="center"/>
              <w:rPr>
                <w:rFonts w:hint="default" w:ascii="仿宋" w:hAnsi="仿宋" w:eastAsia="仿宋" w:cs="仿宋"/>
                <w:sz w:val="24"/>
                <w:highlight w:val="none"/>
                <w:vertAlign w:val="baseline"/>
                <w:lang w:eastAsia="zh-CN"/>
              </w:rPr>
            </w:pPr>
            <w:r>
              <w:rPr>
                <w:rFonts w:hint="eastAsia" w:ascii="仿宋" w:hAnsi="仿宋" w:eastAsia="仿宋" w:cs="仿宋"/>
                <w:sz w:val="24"/>
                <w:highlight w:val="none"/>
                <w:vertAlign w:val="baseline"/>
                <w:lang w:val="en-US" w:eastAsia="zh-CN"/>
              </w:rPr>
              <w:t>黑框</w:t>
            </w:r>
            <w:r>
              <w:rPr>
                <w:rFonts w:hint="eastAsia" w:ascii="仿宋" w:hAnsi="仿宋" w:eastAsia="仿宋" w:cs="仿宋"/>
                <w:sz w:val="24"/>
                <w:highlight w:val="none"/>
                <w:vertAlign w:val="baseline"/>
                <w:lang w:eastAsia="zh-CN"/>
                <w:woUserID w:val="0"/>
              </w:rPr>
              <w:t>+</w:t>
            </w:r>
            <w:r>
              <w:rPr>
                <w:rFonts w:hint="eastAsia" w:ascii="仿宋" w:hAnsi="仿宋" w:eastAsia="仿宋" w:cs="仿宋"/>
                <w:sz w:val="24"/>
                <w:highlight w:val="none"/>
                <w:vertAlign w:val="baseline"/>
                <w:lang w:val="en-US" w:eastAsia="zh-CN"/>
              </w:rPr>
              <w:t>黄门</w:t>
            </w:r>
          </w:p>
        </w:tc>
      </w:tr>
      <w:tr w14:paraId="6F58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3CEE37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10</w:t>
            </w:r>
          </w:p>
        </w:tc>
        <w:tc>
          <w:tcPr>
            <w:tcW w:w="2912" w:type="dxa"/>
            <w:vAlign w:val="center"/>
          </w:tcPr>
          <w:p w14:paraId="179933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5号楼</w:t>
            </w:r>
          </w:p>
        </w:tc>
        <w:tc>
          <w:tcPr>
            <w:tcW w:w="1663" w:type="dxa"/>
            <w:vAlign w:val="center"/>
          </w:tcPr>
          <w:p w14:paraId="2AEE57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w:t>
            </w:r>
          </w:p>
        </w:tc>
        <w:tc>
          <w:tcPr>
            <w:tcW w:w="2919" w:type="dxa"/>
            <w:vAlign w:val="center"/>
          </w:tcPr>
          <w:p w14:paraId="3C8F8BE0">
            <w:pPr>
              <w:keepNext w:val="0"/>
              <w:keepLines w:val="0"/>
              <w:numPr>
                <w:ilvl w:val="-1"/>
                <w:numId w:val="0"/>
              </w:numPr>
              <w:suppressLineNumbers w:val="0"/>
              <w:adjustRightInd w:val="0"/>
              <w:snapToGrid w:val="0"/>
              <w:spacing w:before="0" w:beforeAutospacing="0" w:after="0" w:afterAutospacing="0"/>
              <w:ind w:left="0" w:leftChars="0" w:right="0" w:firstLine="0" w:firstLineChars="0"/>
              <w:jc w:val="center"/>
              <w:rPr>
                <w:rFonts w:hint="eastAsia" w:ascii="仿宋" w:hAnsi="仿宋" w:eastAsia="仿宋" w:cs="仿宋"/>
                <w:sz w:val="24"/>
                <w:highlight w:val="none"/>
                <w:vertAlign w:val="baseline"/>
                <w:lang w:eastAsia="zh-CN"/>
                <w:woUserID w:val="0"/>
              </w:rPr>
            </w:pPr>
            <w:r>
              <w:rPr>
                <w:rFonts w:hint="eastAsia" w:ascii="仿宋" w:hAnsi="仿宋" w:eastAsia="仿宋" w:cs="仿宋"/>
                <w:color w:val="auto"/>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rPr>
              <w:t>中国红</w:t>
            </w:r>
            <w:r>
              <w:rPr>
                <w:rFonts w:hint="eastAsia" w:ascii="仿宋" w:hAnsi="仿宋" w:eastAsia="仿宋" w:cs="仿宋"/>
                <w:sz w:val="24"/>
                <w:highlight w:val="none"/>
                <w:vertAlign w:val="baseline"/>
                <w:lang w:eastAsia="zh-CN"/>
                <w:woUserID w:val="0"/>
              </w:rPr>
              <w:t>门</w:t>
            </w:r>
          </w:p>
        </w:tc>
      </w:tr>
      <w:tr w14:paraId="314D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71964E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11</w:t>
            </w:r>
          </w:p>
        </w:tc>
        <w:tc>
          <w:tcPr>
            <w:tcW w:w="2912" w:type="dxa"/>
            <w:vAlign w:val="center"/>
          </w:tcPr>
          <w:p w14:paraId="0096E8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15号楼</w:t>
            </w:r>
          </w:p>
        </w:tc>
        <w:tc>
          <w:tcPr>
            <w:tcW w:w="1663" w:type="dxa"/>
            <w:vAlign w:val="center"/>
          </w:tcPr>
          <w:p w14:paraId="0A92AC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w:t>
            </w:r>
          </w:p>
        </w:tc>
        <w:tc>
          <w:tcPr>
            <w:tcW w:w="2919" w:type="dxa"/>
            <w:vAlign w:val="center"/>
          </w:tcPr>
          <w:p w14:paraId="1F1491D4">
            <w:pPr>
              <w:keepNext w:val="0"/>
              <w:keepLines w:val="0"/>
              <w:numPr>
                <w:ilvl w:val="-1"/>
                <w:numId w:val="0"/>
              </w:numPr>
              <w:suppressLineNumbers w:val="0"/>
              <w:adjustRightInd w:val="0"/>
              <w:snapToGrid w:val="0"/>
              <w:spacing w:before="0" w:beforeAutospacing="0" w:after="0" w:afterAutospacing="0"/>
              <w:ind w:left="0" w:leftChars="0" w:right="0" w:firstLine="0" w:firstLineChars="0"/>
              <w:jc w:val="center"/>
              <w:rPr>
                <w:rFonts w:hint="eastAsia" w:ascii="仿宋" w:hAnsi="仿宋" w:eastAsia="仿宋" w:cs="仿宋"/>
                <w:sz w:val="24"/>
                <w:highlight w:val="none"/>
                <w:vertAlign w:val="baseline"/>
                <w:lang w:eastAsia="zh-CN"/>
                <w:woUserID w:val="0"/>
              </w:rPr>
            </w:pPr>
            <w:r>
              <w:rPr>
                <w:rFonts w:hint="eastAsia" w:ascii="仿宋" w:hAnsi="仿宋" w:eastAsia="仿宋" w:cs="仿宋"/>
                <w:color w:val="auto"/>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rPr>
              <w:t>果绿色</w:t>
            </w:r>
            <w:r>
              <w:rPr>
                <w:rFonts w:hint="eastAsia" w:ascii="仿宋" w:hAnsi="仿宋" w:eastAsia="仿宋" w:cs="仿宋"/>
                <w:sz w:val="24"/>
                <w:highlight w:val="none"/>
                <w:vertAlign w:val="baseline"/>
                <w:lang w:eastAsia="zh-CN"/>
                <w:woUserID w:val="0"/>
              </w:rPr>
              <w:t>门</w:t>
            </w:r>
          </w:p>
        </w:tc>
      </w:tr>
      <w:tr w14:paraId="38F8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7D861F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12</w:t>
            </w:r>
          </w:p>
        </w:tc>
        <w:tc>
          <w:tcPr>
            <w:tcW w:w="2912" w:type="dxa"/>
            <w:vAlign w:val="center"/>
          </w:tcPr>
          <w:p w14:paraId="1A8FAA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16号楼</w:t>
            </w:r>
          </w:p>
        </w:tc>
        <w:tc>
          <w:tcPr>
            <w:tcW w:w="1663" w:type="dxa"/>
            <w:vAlign w:val="center"/>
          </w:tcPr>
          <w:p w14:paraId="72E8D1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w:t>
            </w:r>
          </w:p>
        </w:tc>
        <w:tc>
          <w:tcPr>
            <w:tcW w:w="2919" w:type="dxa"/>
            <w:vAlign w:val="center"/>
          </w:tcPr>
          <w:p w14:paraId="00A5EF65">
            <w:pPr>
              <w:keepNext w:val="0"/>
              <w:keepLines w:val="0"/>
              <w:numPr>
                <w:ilvl w:val="-1"/>
                <w:numId w:val="0"/>
              </w:numPr>
              <w:suppressLineNumbers w:val="0"/>
              <w:adjustRightInd w:val="0"/>
              <w:snapToGrid w:val="0"/>
              <w:spacing w:before="0" w:beforeAutospacing="0" w:after="0" w:afterAutospacing="0"/>
              <w:ind w:left="0" w:leftChars="0" w:right="0" w:firstLine="0" w:firstLineChars="0"/>
              <w:jc w:val="center"/>
              <w:rPr>
                <w:rFonts w:hint="default" w:ascii="仿宋" w:hAnsi="仿宋" w:eastAsia="仿宋" w:cs="仿宋"/>
                <w:sz w:val="24"/>
                <w:highlight w:val="none"/>
                <w:vertAlign w:val="baseline"/>
                <w:lang w:eastAsia="zh-CN"/>
              </w:rPr>
            </w:pPr>
            <w:r>
              <w:rPr>
                <w:rFonts w:hint="eastAsia" w:ascii="仿宋" w:hAnsi="仿宋" w:eastAsia="仿宋" w:cs="仿宋"/>
                <w:color w:val="auto"/>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woUserID w:val="0"/>
              </w:rPr>
              <w:t>果绿色</w:t>
            </w:r>
            <w:r>
              <w:rPr>
                <w:rFonts w:hint="eastAsia" w:ascii="仿宋" w:hAnsi="仿宋" w:eastAsia="仿宋" w:cs="仿宋"/>
                <w:sz w:val="24"/>
                <w:highlight w:val="none"/>
                <w:vertAlign w:val="baseline"/>
                <w:lang w:eastAsia="zh-CN"/>
                <w:woUserID w:val="0"/>
              </w:rPr>
              <w:t>门</w:t>
            </w:r>
          </w:p>
        </w:tc>
      </w:tr>
      <w:tr w14:paraId="5FE3E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6275F5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13</w:t>
            </w:r>
          </w:p>
        </w:tc>
        <w:tc>
          <w:tcPr>
            <w:tcW w:w="2912" w:type="dxa"/>
            <w:vAlign w:val="center"/>
          </w:tcPr>
          <w:p w14:paraId="2E7D30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17号楼</w:t>
            </w:r>
          </w:p>
        </w:tc>
        <w:tc>
          <w:tcPr>
            <w:tcW w:w="1663" w:type="dxa"/>
            <w:vAlign w:val="center"/>
          </w:tcPr>
          <w:p w14:paraId="4AFD70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3</w:t>
            </w:r>
          </w:p>
        </w:tc>
        <w:tc>
          <w:tcPr>
            <w:tcW w:w="2919" w:type="dxa"/>
            <w:vAlign w:val="center"/>
          </w:tcPr>
          <w:p w14:paraId="12012E7C">
            <w:pPr>
              <w:keepNext w:val="0"/>
              <w:keepLines w:val="0"/>
              <w:numPr>
                <w:ilvl w:val="-1"/>
                <w:numId w:val="0"/>
              </w:numPr>
              <w:suppressLineNumbers w:val="0"/>
              <w:adjustRightInd w:val="0"/>
              <w:snapToGrid w:val="0"/>
              <w:spacing w:before="0" w:beforeAutospacing="0" w:after="0" w:afterAutospacing="0"/>
              <w:ind w:left="0" w:leftChars="0" w:right="0" w:firstLine="0" w:firstLineChars="0"/>
              <w:jc w:val="center"/>
              <w:rPr>
                <w:rFonts w:hint="eastAsia" w:ascii="仿宋" w:hAnsi="仿宋" w:eastAsia="仿宋" w:cs="仿宋"/>
                <w:sz w:val="24"/>
                <w:highlight w:val="none"/>
                <w:vertAlign w:val="baseline"/>
                <w:lang w:eastAsia="zh-CN"/>
                <w:woUserID w:val="0"/>
              </w:rPr>
            </w:pPr>
            <w:r>
              <w:rPr>
                <w:rFonts w:hint="eastAsia" w:ascii="仿宋" w:hAnsi="仿宋" w:eastAsia="仿宋" w:cs="仿宋"/>
                <w:color w:val="auto"/>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rPr>
              <w:t>活力橙</w:t>
            </w:r>
            <w:r>
              <w:rPr>
                <w:rFonts w:hint="eastAsia" w:ascii="仿宋" w:hAnsi="仿宋" w:eastAsia="仿宋" w:cs="仿宋"/>
                <w:sz w:val="24"/>
                <w:highlight w:val="none"/>
                <w:vertAlign w:val="baseline"/>
                <w:lang w:eastAsia="zh-CN"/>
                <w:woUserID w:val="0"/>
              </w:rPr>
              <w:t>门</w:t>
            </w:r>
          </w:p>
        </w:tc>
      </w:tr>
      <w:tr w14:paraId="0D33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61A3B3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14</w:t>
            </w:r>
          </w:p>
        </w:tc>
        <w:tc>
          <w:tcPr>
            <w:tcW w:w="2912" w:type="dxa"/>
            <w:vAlign w:val="center"/>
          </w:tcPr>
          <w:p w14:paraId="1CDF12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18号楼</w:t>
            </w:r>
          </w:p>
        </w:tc>
        <w:tc>
          <w:tcPr>
            <w:tcW w:w="1663" w:type="dxa"/>
            <w:vAlign w:val="center"/>
          </w:tcPr>
          <w:p w14:paraId="04E2B4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2</w:t>
            </w:r>
          </w:p>
        </w:tc>
        <w:tc>
          <w:tcPr>
            <w:tcW w:w="2919" w:type="dxa"/>
            <w:vAlign w:val="center"/>
          </w:tcPr>
          <w:p w14:paraId="5B4E66C0">
            <w:pPr>
              <w:keepNext w:val="0"/>
              <w:keepLines w:val="0"/>
              <w:numPr>
                <w:ilvl w:val="-1"/>
                <w:numId w:val="0"/>
              </w:numPr>
              <w:suppressLineNumbers w:val="0"/>
              <w:adjustRightInd w:val="0"/>
              <w:snapToGrid w:val="0"/>
              <w:spacing w:before="0" w:beforeAutospacing="0" w:after="0" w:afterAutospacing="0"/>
              <w:ind w:left="0" w:leftChars="0" w:right="0" w:firstLine="0" w:firstLineChars="0"/>
              <w:jc w:val="center"/>
              <w:rPr>
                <w:rFonts w:hint="eastAsia" w:ascii="仿宋" w:hAnsi="仿宋" w:eastAsia="仿宋" w:cs="仿宋"/>
                <w:sz w:val="24"/>
                <w:highlight w:val="none"/>
                <w:vertAlign w:val="baseline"/>
                <w:lang w:eastAsia="zh-CN"/>
                <w:woUserID w:val="0"/>
              </w:rPr>
            </w:pPr>
            <w:r>
              <w:rPr>
                <w:rFonts w:hint="eastAsia" w:ascii="仿宋" w:hAnsi="仿宋" w:eastAsia="仿宋" w:cs="仿宋"/>
                <w:color w:val="auto"/>
                <w:kern w:val="2"/>
                <w:sz w:val="24"/>
                <w:szCs w:val="24"/>
                <w:highlight w:val="none"/>
                <w:lang w:eastAsia="zh-CN"/>
                <w:woUserID w:val="0"/>
              </w:rPr>
              <w:t>灰白框+</w:t>
            </w:r>
            <w:r>
              <w:rPr>
                <w:rFonts w:hint="eastAsia" w:ascii="仿宋" w:hAnsi="仿宋" w:eastAsia="仿宋" w:cs="仿宋"/>
                <w:sz w:val="24"/>
                <w:highlight w:val="none"/>
                <w:vertAlign w:val="baseline"/>
                <w:lang w:val="en-US" w:eastAsia="zh-CN"/>
              </w:rPr>
              <w:t>深蓝色</w:t>
            </w:r>
            <w:r>
              <w:rPr>
                <w:rFonts w:hint="eastAsia" w:ascii="仿宋" w:hAnsi="仿宋" w:eastAsia="仿宋" w:cs="仿宋"/>
                <w:sz w:val="24"/>
                <w:highlight w:val="none"/>
                <w:vertAlign w:val="baseline"/>
                <w:lang w:eastAsia="zh-CN"/>
                <w:woUserID w:val="0"/>
              </w:rPr>
              <w:t>门</w:t>
            </w:r>
          </w:p>
        </w:tc>
      </w:tr>
      <w:tr w14:paraId="65A3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808" w:type="dxa"/>
            <w:vAlign w:val="center"/>
          </w:tcPr>
          <w:p w14:paraId="0893A1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15</w:t>
            </w:r>
          </w:p>
        </w:tc>
        <w:tc>
          <w:tcPr>
            <w:tcW w:w="2912" w:type="dxa"/>
            <w:vAlign w:val="center"/>
          </w:tcPr>
          <w:p w14:paraId="3A0ECA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19号楼</w:t>
            </w:r>
          </w:p>
        </w:tc>
        <w:tc>
          <w:tcPr>
            <w:tcW w:w="1663" w:type="dxa"/>
            <w:vAlign w:val="center"/>
          </w:tcPr>
          <w:p w14:paraId="11195D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rPr>
              <w:t>3</w:t>
            </w:r>
          </w:p>
        </w:tc>
        <w:tc>
          <w:tcPr>
            <w:tcW w:w="2919" w:type="dxa"/>
            <w:vAlign w:val="center"/>
          </w:tcPr>
          <w:p w14:paraId="1ABFF9C5">
            <w:pPr>
              <w:keepNext w:val="0"/>
              <w:keepLines w:val="0"/>
              <w:numPr>
                <w:ilvl w:val="-1"/>
                <w:numId w:val="0"/>
              </w:numPr>
              <w:suppressLineNumbers w:val="0"/>
              <w:adjustRightInd w:val="0"/>
              <w:snapToGrid w:val="0"/>
              <w:spacing w:before="0" w:beforeAutospacing="0" w:after="0" w:afterAutospacing="0"/>
              <w:ind w:left="0" w:leftChars="0" w:right="0" w:firstLine="0" w:firstLineChars="0"/>
              <w:jc w:val="center"/>
              <w:rPr>
                <w:rFonts w:hint="eastAsia" w:ascii="仿宋" w:hAnsi="仿宋" w:eastAsia="仿宋" w:cs="仿宋"/>
                <w:sz w:val="24"/>
                <w:highlight w:val="none"/>
                <w:vertAlign w:val="baseline"/>
                <w:lang w:eastAsia="zh-CN"/>
                <w:woUserID w:val="0"/>
              </w:rPr>
            </w:pPr>
            <w:r>
              <w:rPr>
                <w:rFonts w:hint="eastAsia" w:ascii="仿宋" w:hAnsi="仿宋" w:eastAsia="仿宋" w:cs="仿宋"/>
                <w:sz w:val="24"/>
                <w:highlight w:val="none"/>
                <w:vertAlign w:val="baseline"/>
                <w:lang w:val="en-US" w:eastAsia="zh-CN"/>
              </w:rPr>
              <w:t>灰白</w:t>
            </w:r>
            <w:r>
              <w:rPr>
                <w:rFonts w:hint="eastAsia" w:ascii="仿宋" w:hAnsi="仿宋" w:eastAsia="仿宋" w:cs="仿宋"/>
                <w:sz w:val="24"/>
                <w:highlight w:val="none"/>
                <w:vertAlign w:val="baseline"/>
                <w:lang w:eastAsia="zh-CN"/>
                <w:woUserID w:val="0"/>
              </w:rPr>
              <w:t>框+</w:t>
            </w:r>
            <w:r>
              <w:rPr>
                <w:rFonts w:hint="eastAsia" w:ascii="仿宋" w:hAnsi="仿宋" w:eastAsia="仿宋" w:cs="仿宋"/>
                <w:sz w:val="24"/>
                <w:highlight w:val="none"/>
                <w:vertAlign w:val="baseline"/>
                <w:lang w:val="en-US" w:eastAsia="zh-CN"/>
                <w:woUserID w:val="0"/>
              </w:rPr>
              <w:t>灰白色</w:t>
            </w:r>
            <w:r>
              <w:rPr>
                <w:rFonts w:hint="eastAsia" w:ascii="仿宋" w:hAnsi="仿宋" w:eastAsia="仿宋" w:cs="仿宋"/>
                <w:sz w:val="24"/>
                <w:highlight w:val="none"/>
                <w:vertAlign w:val="baseline"/>
                <w:lang w:eastAsia="zh-CN"/>
                <w:woUserID w:val="0"/>
              </w:rPr>
              <w:t>门</w:t>
            </w:r>
          </w:p>
        </w:tc>
      </w:tr>
      <w:tr w14:paraId="7392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720" w:type="dxa"/>
            <w:gridSpan w:val="2"/>
            <w:vAlign w:val="center"/>
          </w:tcPr>
          <w:p w14:paraId="404729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合计</w:t>
            </w:r>
          </w:p>
        </w:tc>
        <w:tc>
          <w:tcPr>
            <w:tcW w:w="1663" w:type="dxa"/>
            <w:vAlign w:val="center"/>
          </w:tcPr>
          <w:p w14:paraId="1BBB22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40</w:t>
            </w:r>
          </w:p>
        </w:tc>
        <w:tc>
          <w:tcPr>
            <w:tcW w:w="2919" w:type="dxa"/>
            <w:vAlign w:val="center"/>
          </w:tcPr>
          <w:p w14:paraId="37418A3A">
            <w:pPr>
              <w:keepNext w:val="0"/>
              <w:keepLines w:val="0"/>
              <w:numPr>
                <w:ilvl w:val="-1"/>
                <w:numId w:val="0"/>
              </w:numPr>
              <w:suppressLineNumbers w:val="0"/>
              <w:adjustRightInd w:val="0"/>
              <w:snapToGrid w:val="0"/>
              <w:spacing w:before="0" w:beforeAutospacing="0" w:after="0" w:afterAutospacing="0"/>
              <w:ind w:left="0" w:right="0"/>
              <w:jc w:val="center"/>
              <w:rPr>
                <w:rFonts w:hint="default" w:ascii="仿宋" w:hAnsi="仿宋" w:eastAsia="仿宋" w:cs="仿宋"/>
                <w:sz w:val="24"/>
                <w:highlight w:val="none"/>
                <w:vertAlign w:val="baseline"/>
                <w:lang w:eastAsia="zh-CN"/>
              </w:rPr>
            </w:pPr>
          </w:p>
        </w:tc>
      </w:tr>
    </w:tbl>
    <w:p w14:paraId="4236AAB6">
      <w:pPr>
        <w:pStyle w:val="9"/>
        <w:widowControl/>
        <w:numPr>
          <w:ilvl w:val="-1"/>
          <w:numId w:val="0"/>
        </w:numPr>
        <w:jc w:val="lef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（三）颜色参考</w:t>
      </w:r>
    </w:p>
    <w:p w14:paraId="3935EB1F">
      <w:pPr>
        <w:pStyle w:val="9"/>
        <w:widowControl w:val="0"/>
        <w:numPr>
          <w:ilvl w:val="-1"/>
          <w:numId w:val="0"/>
        </w:numPr>
        <w:jc w:val="both"/>
        <w:rPr>
          <w:rFonts w:hint="default"/>
          <w:lang w:val="en-US" w:eastAsia="zh-CN"/>
        </w:rPr>
      </w:pPr>
      <w:r>
        <w:rPr>
          <w:rFonts w:hint="eastAsia" w:ascii="仿宋" w:hAnsi="仿宋" w:eastAsia="仿宋" w:cs="仿宋"/>
          <w:b/>
          <w:sz w:val="28"/>
          <w:szCs w:val="28"/>
          <w:highlight w:val="none"/>
        </w:rPr>
        <w:drawing>
          <wp:anchor distT="0" distB="0" distL="114300" distR="114300" simplePos="0" relativeHeight="251661312" behindDoc="1" locked="0" layoutInCell="1" allowOverlap="1">
            <wp:simplePos x="0" y="0"/>
            <wp:positionH relativeFrom="column">
              <wp:posOffset>2638425</wp:posOffset>
            </wp:positionH>
            <wp:positionV relativeFrom="paragraph">
              <wp:posOffset>144780</wp:posOffset>
            </wp:positionV>
            <wp:extent cx="2430145" cy="3757295"/>
            <wp:effectExtent l="0" t="0" r="0" b="0"/>
            <wp:wrapTight wrapText="bothSides">
              <wp:wrapPolygon>
                <wp:start x="0" y="0"/>
                <wp:lineTo x="0" y="21465"/>
                <wp:lineTo x="21504" y="21465"/>
                <wp:lineTo x="21504" y="0"/>
                <wp:lineTo x="0" y="0"/>
              </wp:wrapPolygon>
            </wp:wrapTight>
            <wp:docPr id="5" name="图片 5" descr="mmexport179005635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mexport1790056353459"/>
                    <pic:cNvPicPr>
                      <a:picLocks noChangeAspect="1"/>
                    </pic:cNvPicPr>
                  </pic:nvPicPr>
                  <pic:blipFill>
                    <a:blip r:embed="rId8"/>
                    <a:srcRect l="104" t="48903"/>
                    <a:stretch>
                      <a:fillRect/>
                    </a:stretch>
                  </pic:blipFill>
                  <pic:spPr>
                    <a:xfrm>
                      <a:off x="0" y="0"/>
                      <a:ext cx="2430145" cy="3757295"/>
                    </a:xfrm>
                    <a:prstGeom prst="rect">
                      <a:avLst/>
                    </a:prstGeom>
                  </pic:spPr>
                </pic:pic>
              </a:graphicData>
            </a:graphic>
          </wp:anchor>
        </w:drawing>
      </w:r>
      <w:r>
        <w:rPr>
          <w:rFonts w:hint="default"/>
          <w:lang w:val="en-US" w:eastAsia="zh-CN"/>
        </w:rPr>
        <w:drawing>
          <wp:anchor distT="0" distB="0" distL="114300" distR="114300" simplePos="0" relativeHeight="251660288" behindDoc="1" locked="0" layoutInCell="1" allowOverlap="1">
            <wp:simplePos x="0" y="0"/>
            <wp:positionH relativeFrom="column">
              <wp:posOffset>-152400</wp:posOffset>
            </wp:positionH>
            <wp:positionV relativeFrom="paragraph">
              <wp:posOffset>102235</wp:posOffset>
            </wp:positionV>
            <wp:extent cx="2581910" cy="3771265"/>
            <wp:effectExtent l="0" t="0" r="46990" b="57785"/>
            <wp:wrapTight wrapText="bothSides">
              <wp:wrapPolygon>
                <wp:start x="319" y="109"/>
                <wp:lineTo x="319" y="21495"/>
                <wp:lineTo x="21515" y="21495"/>
                <wp:lineTo x="21515" y="109"/>
                <wp:lineTo x="319" y="109"/>
              </wp:wrapPolygon>
            </wp:wrapTight>
            <wp:docPr id="4" name="图片 4" descr="mmexport179005635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mexport1790056353459"/>
                    <pic:cNvPicPr>
                      <a:picLocks noChangeAspect="1"/>
                    </pic:cNvPicPr>
                  </pic:nvPicPr>
                  <pic:blipFill>
                    <a:blip r:embed="rId8"/>
                    <a:srcRect l="-3024" t="-421" b="50628"/>
                    <a:stretch>
                      <a:fillRect/>
                    </a:stretch>
                  </pic:blipFill>
                  <pic:spPr>
                    <a:xfrm>
                      <a:off x="0" y="0"/>
                      <a:ext cx="2581910" cy="3771265"/>
                    </a:xfrm>
                    <a:prstGeom prst="rect">
                      <a:avLst/>
                    </a:prstGeom>
                  </pic:spPr>
                </pic:pic>
              </a:graphicData>
            </a:graphic>
          </wp:anchor>
        </w:drawing>
      </w:r>
    </w:p>
    <w:p w14:paraId="639B1471">
      <w:pPr>
        <w:pStyle w:val="9"/>
        <w:widowControl w:val="0"/>
        <w:numPr>
          <w:ilvl w:val="-1"/>
          <w:numId w:val="0"/>
        </w:numPr>
        <w:jc w:val="both"/>
        <w:rPr>
          <w:rFonts w:hint="default"/>
          <w:lang w:val="en-US" w:eastAsia="zh-CN"/>
        </w:rPr>
      </w:pPr>
    </w:p>
    <w:p w14:paraId="6D200090">
      <w:pPr>
        <w:pStyle w:val="9"/>
        <w:widowControl w:val="0"/>
        <w:numPr>
          <w:ilvl w:val="-1"/>
          <w:numId w:val="0"/>
        </w:numPr>
        <w:jc w:val="both"/>
        <w:rPr>
          <w:rFonts w:hint="default"/>
          <w:lang w:val="en-US" w:eastAsia="zh-CN"/>
        </w:rPr>
      </w:pPr>
    </w:p>
    <w:p w14:paraId="14E6C999">
      <w:pPr>
        <w:rPr>
          <w:rFonts w:hint="eastAsia" w:ascii="仿宋" w:hAnsi="仿宋" w:eastAsia="仿宋" w:cs="仿宋"/>
          <w:b/>
          <w:sz w:val="28"/>
          <w:szCs w:val="28"/>
          <w:highlight w:val="none"/>
        </w:rPr>
      </w:pPr>
    </w:p>
    <w:p w14:paraId="223CAB42">
      <w:pPr>
        <w:rPr>
          <w:rFonts w:hint="eastAsia" w:ascii="仿宋" w:hAnsi="仿宋" w:eastAsia="仿宋" w:cs="仿宋"/>
          <w:b/>
          <w:sz w:val="28"/>
          <w:szCs w:val="28"/>
          <w:highlight w:val="none"/>
        </w:rPr>
      </w:pPr>
    </w:p>
    <w:p w14:paraId="2134BD72">
      <w:pPr>
        <w:rPr>
          <w:rFonts w:hint="eastAsia" w:ascii="仿宋" w:hAnsi="仿宋" w:eastAsia="仿宋" w:cs="仿宋"/>
          <w:b/>
          <w:sz w:val="28"/>
          <w:szCs w:val="28"/>
          <w:highlight w:val="none"/>
        </w:rPr>
      </w:pPr>
    </w:p>
    <w:p w14:paraId="0DF35977">
      <w:pPr>
        <w:rPr>
          <w:rFonts w:hint="eastAsia" w:ascii="仿宋" w:hAnsi="仿宋" w:eastAsia="仿宋" w:cs="仿宋"/>
          <w:b/>
          <w:sz w:val="28"/>
          <w:szCs w:val="28"/>
          <w:highlight w:val="none"/>
        </w:rPr>
      </w:pPr>
    </w:p>
    <w:p w14:paraId="08719781">
      <w:pPr>
        <w:rPr>
          <w:rFonts w:hint="eastAsia" w:ascii="仿宋" w:hAnsi="仿宋" w:eastAsia="仿宋" w:cs="仿宋"/>
          <w:b/>
          <w:sz w:val="28"/>
          <w:szCs w:val="28"/>
          <w:highlight w:val="none"/>
        </w:rPr>
      </w:pPr>
    </w:p>
    <w:p w14:paraId="7A0E17B1">
      <w:pPr>
        <w:rPr>
          <w:rFonts w:hint="eastAsia" w:ascii="仿宋" w:hAnsi="仿宋" w:eastAsia="仿宋" w:cs="仿宋"/>
          <w:b/>
          <w:sz w:val="28"/>
          <w:szCs w:val="28"/>
          <w:highlight w:val="none"/>
        </w:rPr>
      </w:pPr>
    </w:p>
    <w:p w14:paraId="35516182">
      <w:pPr>
        <w:rPr>
          <w:rFonts w:hint="eastAsia" w:ascii="仿宋" w:hAnsi="仿宋" w:eastAsia="仿宋" w:cs="仿宋"/>
          <w:b/>
          <w:sz w:val="28"/>
          <w:szCs w:val="28"/>
          <w:highlight w:val="none"/>
        </w:rPr>
      </w:pPr>
    </w:p>
    <w:p w14:paraId="194F57A0">
      <w:pPr>
        <w:rPr>
          <w:rFonts w:hint="eastAsia" w:ascii="仿宋" w:hAnsi="仿宋" w:eastAsia="仿宋" w:cs="仿宋"/>
          <w:b/>
          <w:sz w:val="28"/>
          <w:szCs w:val="28"/>
          <w:highlight w:val="none"/>
        </w:rPr>
      </w:pPr>
    </w:p>
    <w:p w14:paraId="1356311F">
      <w:pPr>
        <w:rPr>
          <w:rFonts w:hint="eastAsia" w:ascii="仿宋" w:hAnsi="仿宋" w:eastAsia="仿宋" w:cs="仿宋"/>
          <w:b/>
          <w:sz w:val="28"/>
          <w:szCs w:val="28"/>
          <w:highlight w:val="none"/>
        </w:rPr>
      </w:pPr>
    </w:p>
    <w:p w14:paraId="2B15166F">
      <w:pPr>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p>
    <w:p w14:paraId="17AEBBE1">
      <w:pPr>
        <w:pStyle w:val="18"/>
        <w:rPr>
          <w:rFonts w:hint="eastAsia" w:ascii="仿宋" w:hAnsi="仿宋" w:eastAsia="仿宋" w:cs="仿宋"/>
          <w:highlight w:val="none"/>
          <w:lang w:val="en-US" w:eastAsia="zh-CN"/>
        </w:rPr>
      </w:pPr>
      <w:r>
        <w:rPr>
          <w:rFonts w:hint="eastAsia" w:ascii="仿宋" w:hAnsi="仿宋" w:eastAsia="仿宋" w:cs="仿宋"/>
          <w:highlight w:val="none"/>
          <w:lang w:val="en-US" w:eastAsia="zh-CN"/>
        </w:rPr>
        <w:t>第三章 评标办法及评分标准</w:t>
      </w:r>
    </w:p>
    <w:p w14:paraId="1D0187F4">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为公正、公平、科学地选择中标人，根据《中华人民共和国政府采购法》等有关法律法规的规定，并结合本项目的实际，制定本办法。</w:t>
      </w:r>
    </w:p>
    <w:p w14:paraId="353C7048">
      <w:pPr>
        <w:spacing w:line="360" w:lineRule="auto"/>
        <w:jc w:val="left"/>
        <w:rPr>
          <w:rFonts w:ascii="仿宋" w:hAnsi="仿宋" w:eastAsia="仿宋" w:cs="仿宋"/>
          <w:b/>
          <w:bCs/>
          <w:color w:val="000000"/>
          <w:kern w:val="0"/>
          <w:sz w:val="28"/>
          <w:szCs w:val="28"/>
          <w:highlight w:val="none"/>
          <w:shd w:val="clear" w:color="auto" w:fill="FFFFFF"/>
          <w:lang w:bidi="ar"/>
        </w:rPr>
      </w:pPr>
      <w:r>
        <w:rPr>
          <w:rFonts w:hint="eastAsia" w:ascii="仿宋" w:hAnsi="仿宋" w:eastAsia="仿宋" w:cs="仿宋"/>
          <w:b/>
          <w:bCs/>
          <w:color w:val="000000"/>
          <w:kern w:val="0"/>
          <w:sz w:val="28"/>
          <w:szCs w:val="28"/>
          <w:highlight w:val="none"/>
          <w:shd w:val="clear" w:color="auto" w:fill="FFFFFF"/>
          <w:lang w:bidi="ar"/>
        </w:rPr>
        <w:t>一、总则</w:t>
      </w:r>
    </w:p>
    <w:p w14:paraId="6680E028">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本次评标采用综合评分法，总分为100分，其中价格分30分、技术商务资信及其他部分70分，合格投标人的评审得分为各项目汇总得分。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排名依次类推，按照上述规定如出现并列情况，由评审委员会抽签决定中标候选人次序。评分过程中采用四舍五入法，并保留小数2位。</w:t>
      </w:r>
    </w:p>
    <w:p w14:paraId="766E498A">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投标人评标综合得分=价格分+技术、商务、资信及其他分</w:t>
      </w:r>
    </w:p>
    <w:p w14:paraId="47F6B2D9">
      <w:pPr>
        <w:spacing w:line="360" w:lineRule="auto"/>
        <w:jc w:val="left"/>
        <w:rPr>
          <w:rFonts w:ascii="仿宋" w:hAnsi="仿宋" w:eastAsia="仿宋" w:cs="仿宋"/>
          <w:b/>
          <w:bCs/>
          <w:color w:val="000000"/>
          <w:kern w:val="0"/>
          <w:sz w:val="28"/>
          <w:szCs w:val="28"/>
          <w:highlight w:val="none"/>
          <w:shd w:val="clear" w:color="auto" w:fill="FFFFFF"/>
          <w:lang w:bidi="ar"/>
        </w:rPr>
      </w:pPr>
      <w:r>
        <w:rPr>
          <w:rFonts w:hint="eastAsia" w:ascii="仿宋" w:hAnsi="仿宋" w:eastAsia="仿宋" w:cs="仿宋"/>
          <w:b/>
          <w:bCs/>
          <w:color w:val="000000"/>
          <w:kern w:val="0"/>
          <w:sz w:val="28"/>
          <w:szCs w:val="28"/>
          <w:highlight w:val="none"/>
          <w:shd w:val="clear" w:color="auto" w:fill="FFFFFF"/>
          <w:lang w:bidi="ar"/>
        </w:rPr>
        <w:t>二、评标内容及标准</w:t>
      </w:r>
    </w:p>
    <w:p w14:paraId="295D00EB">
      <w:pPr>
        <w:spacing w:line="360" w:lineRule="auto"/>
        <w:ind w:firstLine="482" w:firstLineChars="200"/>
        <w:jc w:val="left"/>
        <w:rPr>
          <w:rFonts w:ascii="仿宋" w:hAnsi="仿宋" w:eastAsia="仿宋" w:cs="仿宋"/>
          <w:b/>
          <w:bCs/>
          <w:color w:val="000000"/>
          <w:kern w:val="0"/>
          <w:sz w:val="24"/>
          <w:highlight w:val="none"/>
          <w:shd w:val="clear" w:color="auto" w:fill="FFFFFF"/>
          <w:lang w:bidi="ar"/>
        </w:rPr>
      </w:pPr>
      <w:r>
        <w:rPr>
          <w:rFonts w:hint="eastAsia" w:ascii="仿宋" w:hAnsi="仿宋" w:eastAsia="仿宋" w:cs="仿宋"/>
          <w:b/>
          <w:bCs/>
          <w:color w:val="000000"/>
          <w:kern w:val="0"/>
          <w:sz w:val="24"/>
          <w:highlight w:val="none"/>
          <w:shd w:val="clear" w:color="auto" w:fill="FFFFFF"/>
          <w:lang w:bidi="ar"/>
        </w:rPr>
        <w:t>1、价格分（30分）</w:t>
      </w:r>
    </w:p>
    <w:p w14:paraId="6E086775">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价格分采用低价优先法计算，取所有有效投标人中投标价格最低的投标报价为评标基准价，其他投标人的价格分按照下列公式计算：</w:t>
      </w:r>
    </w:p>
    <w:p w14:paraId="4D91CD6C">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价格分=（评标基准价/投标报价）×30</w:t>
      </w:r>
    </w:p>
    <w:p w14:paraId="4346EC6F">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评标委员会认为投标人的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p w14:paraId="024CB856">
      <w:pPr>
        <w:spacing w:line="360" w:lineRule="auto"/>
        <w:ind w:firstLine="482" w:firstLineChars="200"/>
        <w:jc w:val="left"/>
        <w:rPr>
          <w:rFonts w:ascii="仿宋" w:hAnsi="仿宋" w:eastAsia="仿宋" w:cs="仿宋"/>
          <w:b/>
          <w:bCs/>
          <w:color w:val="000000"/>
          <w:kern w:val="0"/>
          <w:sz w:val="24"/>
          <w:highlight w:val="none"/>
          <w:shd w:val="clear" w:color="auto" w:fill="FFFFFF"/>
          <w:lang w:bidi="ar"/>
        </w:rPr>
      </w:pPr>
      <w:r>
        <w:rPr>
          <w:rFonts w:hint="eastAsia" w:ascii="仿宋" w:hAnsi="仿宋" w:eastAsia="仿宋" w:cs="仿宋"/>
          <w:b/>
          <w:bCs/>
          <w:color w:val="000000"/>
          <w:kern w:val="0"/>
          <w:sz w:val="24"/>
          <w:highlight w:val="none"/>
          <w:shd w:val="clear" w:color="auto" w:fill="FFFFFF"/>
          <w:lang w:bidi="ar"/>
        </w:rPr>
        <w:t>2、技术、商务、资信及其他分（70分）</w:t>
      </w:r>
    </w:p>
    <w:p w14:paraId="57BFB658">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技术、商务、资信及其他分按照评标委员会成员的独立评分结果汇总数的算术平均分计算，计算公式为:</w:t>
      </w:r>
    </w:p>
    <w:p w14:paraId="385DA38C">
      <w:pPr>
        <w:spacing w:line="360" w:lineRule="auto"/>
        <w:ind w:firstLine="480" w:firstLineChars="200"/>
        <w:jc w:val="left"/>
        <w:rPr>
          <w:rFonts w:ascii="仿宋" w:hAnsi="仿宋" w:eastAsia="仿宋" w:cs="仿宋"/>
          <w:color w:val="000000"/>
          <w:kern w:val="0"/>
          <w:sz w:val="24"/>
          <w:highlight w:val="none"/>
          <w:shd w:val="clear" w:color="auto" w:fill="FFFFFF"/>
          <w:lang w:bidi="ar"/>
        </w:rPr>
      </w:pPr>
      <w:r>
        <w:rPr>
          <w:rFonts w:hint="eastAsia" w:ascii="仿宋" w:hAnsi="仿宋" w:eastAsia="仿宋" w:cs="仿宋"/>
          <w:color w:val="000000"/>
          <w:kern w:val="0"/>
          <w:sz w:val="24"/>
          <w:highlight w:val="none"/>
          <w:shd w:val="clear" w:color="auto" w:fill="FFFFFF"/>
          <w:lang w:bidi="ar"/>
        </w:rPr>
        <w:t>技术、商务、资信及其他分=评标委员会所有成员评分合计数/评标委员会组成人员数</w:t>
      </w:r>
    </w:p>
    <w:tbl>
      <w:tblPr>
        <w:tblStyle w:val="14"/>
        <w:tblW w:w="8883" w:type="dxa"/>
        <w:tblInd w:w="135"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775"/>
        <w:gridCol w:w="1535"/>
        <w:gridCol w:w="5583"/>
        <w:gridCol w:w="990"/>
      </w:tblGrid>
      <w:tr w14:paraId="70AC31E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663" w:hRule="atLeast"/>
        </w:trPr>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14:paraId="539F0FCB">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序号</w:t>
            </w:r>
          </w:p>
        </w:tc>
        <w:tc>
          <w:tcPr>
            <w:tcW w:w="1535" w:type="dxa"/>
            <w:tcBorders>
              <w:top w:val="single" w:color="auto" w:sz="4" w:space="0"/>
              <w:left w:val="nil"/>
              <w:bottom w:val="single" w:color="auto" w:sz="4" w:space="0"/>
              <w:right w:val="single" w:color="auto" w:sz="4" w:space="0"/>
            </w:tcBorders>
            <w:shd w:val="clear" w:color="auto" w:fill="auto"/>
            <w:vAlign w:val="center"/>
          </w:tcPr>
          <w:p w14:paraId="567DFE3E">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评审内容</w:t>
            </w:r>
          </w:p>
        </w:tc>
        <w:tc>
          <w:tcPr>
            <w:tcW w:w="5583" w:type="dxa"/>
            <w:tcBorders>
              <w:top w:val="single" w:color="auto" w:sz="4" w:space="0"/>
              <w:left w:val="nil"/>
              <w:bottom w:val="single" w:color="auto" w:sz="4" w:space="0"/>
              <w:right w:val="single" w:color="auto" w:sz="4" w:space="0"/>
            </w:tcBorders>
            <w:shd w:val="clear" w:color="auto" w:fill="auto"/>
            <w:vAlign w:val="center"/>
          </w:tcPr>
          <w:p w14:paraId="46F2367F">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评分标准</w:t>
            </w:r>
          </w:p>
        </w:tc>
        <w:tc>
          <w:tcPr>
            <w:tcW w:w="990" w:type="dxa"/>
            <w:tcBorders>
              <w:top w:val="single" w:color="auto" w:sz="4" w:space="0"/>
              <w:left w:val="nil"/>
              <w:bottom w:val="single" w:color="auto" w:sz="4" w:space="0"/>
              <w:right w:val="single" w:color="auto" w:sz="4" w:space="0"/>
            </w:tcBorders>
            <w:shd w:val="clear" w:color="auto" w:fill="auto"/>
            <w:vAlign w:val="center"/>
          </w:tcPr>
          <w:p w14:paraId="64A46D44">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分值</w:t>
            </w:r>
          </w:p>
        </w:tc>
      </w:tr>
      <w:tr w14:paraId="6264BCA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59" w:hRule="atLeast"/>
        </w:trPr>
        <w:tc>
          <w:tcPr>
            <w:tcW w:w="789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433A6C6">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技术分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648A9D69">
            <w:pPr>
              <w:keepNext w:val="0"/>
              <w:keepLines w:val="0"/>
              <w:widowControl w:val="0"/>
              <w:suppressLineNumbers w:val="0"/>
              <w:spacing w:before="0" w:beforeAutospacing="0" w:after="0" w:afterAutospacing="0" w:line="50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48分</w:t>
            </w:r>
          </w:p>
        </w:tc>
      </w:tr>
      <w:tr w14:paraId="1A0B91B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14:paraId="1FA4E7BB">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1</w:t>
            </w:r>
          </w:p>
        </w:tc>
        <w:tc>
          <w:tcPr>
            <w:tcW w:w="1535" w:type="dxa"/>
            <w:tcBorders>
              <w:top w:val="single" w:color="auto" w:sz="4" w:space="0"/>
              <w:left w:val="nil"/>
              <w:bottom w:val="single" w:color="auto" w:sz="4" w:space="0"/>
              <w:right w:val="single" w:color="auto" w:sz="4" w:space="0"/>
            </w:tcBorders>
            <w:shd w:val="clear" w:color="auto" w:fill="auto"/>
            <w:vAlign w:val="center"/>
          </w:tcPr>
          <w:p w14:paraId="53371A6F">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4"/>
                <w:szCs w:val="24"/>
              </w:rPr>
            </w:pPr>
            <w:r>
              <w:rPr>
                <w:rFonts w:hint="eastAsia" w:ascii="仿宋" w:hAnsi="仿宋" w:eastAsia="仿宋" w:cs="仿宋"/>
                <w:bCs/>
                <w:kern w:val="2"/>
                <w:sz w:val="24"/>
                <w:szCs w:val="24"/>
                <w:lang w:val="en-US" w:eastAsia="zh-CN" w:bidi="ar"/>
              </w:rPr>
              <w:t>技术性能指标</w:t>
            </w:r>
          </w:p>
        </w:tc>
        <w:tc>
          <w:tcPr>
            <w:tcW w:w="5583" w:type="dxa"/>
            <w:tcBorders>
              <w:top w:val="single" w:color="auto" w:sz="4" w:space="0"/>
              <w:left w:val="nil"/>
              <w:bottom w:val="single" w:color="auto" w:sz="4" w:space="0"/>
              <w:right w:val="single" w:color="auto" w:sz="4" w:space="0"/>
            </w:tcBorders>
            <w:shd w:val="clear" w:color="auto" w:fill="auto"/>
            <w:vAlign w:val="top"/>
          </w:tcPr>
          <w:p w14:paraId="4D1DCA94">
            <w:pPr>
              <w:keepNext w:val="0"/>
              <w:keepLines w:val="0"/>
              <w:widowControl/>
              <w:numPr>
                <w:ilvl w:val="0"/>
                <w:numId w:val="8"/>
              </w:numPr>
              <w:suppressLineNumbers w:val="0"/>
              <w:snapToGrid w:val="0"/>
              <w:spacing w:before="0" w:beforeAutospacing="0" w:after="0" w:afterAutospacing="0" w:line="440" w:lineRule="exact"/>
              <w:ind w:left="0" w:right="0"/>
              <w:jc w:val="left"/>
              <w:rPr>
                <w:rFonts w:hint="eastAsia" w:ascii="仿宋" w:hAnsi="仿宋" w:eastAsia="仿宋" w:cs="仿宋"/>
                <w:bCs/>
                <w:kern w:val="2"/>
                <w:sz w:val="24"/>
                <w:szCs w:val="24"/>
                <w:lang w:val="en-US" w:eastAsia="zh-CN" w:bidi="ar"/>
              </w:rPr>
            </w:pPr>
            <w:r>
              <w:rPr>
                <w:rFonts w:hint="eastAsia" w:ascii="仿宋" w:hAnsi="仿宋" w:eastAsia="仿宋" w:cs="仿宋"/>
                <w:kern w:val="0"/>
                <w:sz w:val="24"/>
                <w:szCs w:val="24"/>
                <w:lang w:val="en-US" w:eastAsia="zh-CN" w:bidi="ar"/>
              </w:rPr>
              <w:t>根据投标人对招标文件的第二章第三点技术参数要求（一）响应情况评审，满足招标文件要求得15分</w:t>
            </w:r>
            <w:r>
              <w:rPr>
                <w:rFonts w:hint="eastAsia" w:ascii="仿宋" w:hAnsi="仿宋" w:eastAsia="仿宋" w:cs="仿宋"/>
                <w:bCs/>
                <w:kern w:val="2"/>
                <w:sz w:val="24"/>
                <w:szCs w:val="24"/>
                <w:lang w:val="en-US" w:eastAsia="zh-CN" w:bidi="ar"/>
              </w:rPr>
              <w:t>。技术指标负偏离的每偏离一项扣3分，扣完为止。</w:t>
            </w:r>
          </w:p>
          <w:p w14:paraId="7F8B4D76">
            <w:pPr>
              <w:keepNext w:val="0"/>
              <w:keepLines w:val="0"/>
              <w:widowControl/>
              <w:numPr>
                <w:ilvl w:val="0"/>
                <w:numId w:val="8"/>
              </w:numPr>
              <w:suppressLineNumbers w:val="0"/>
              <w:snapToGrid w:val="0"/>
              <w:spacing w:before="0" w:beforeAutospacing="0" w:after="0" w:afterAutospacing="0" w:line="440" w:lineRule="exact"/>
              <w:ind w:left="0" w:right="0"/>
              <w:jc w:val="left"/>
              <w:rPr>
                <w:rFonts w:hint="eastAsia" w:ascii="仿宋" w:hAnsi="仿宋" w:eastAsia="仿宋" w:cs="仿宋"/>
                <w:bCs/>
                <w:kern w:val="2"/>
                <w:sz w:val="24"/>
                <w:szCs w:val="24"/>
                <w:lang w:val="en-US" w:eastAsia="zh-CN" w:bidi="ar"/>
              </w:rPr>
            </w:pPr>
            <w:r>
              <w:rPr>
                <w:rFonts w:hint="eastAsia" w:ascii="仿宋" w:hAnsi="仿宋" w:eastAsia="仿宋" w:cs="仿宋"/>
                <w:bCs/>
                <w:kern w:val="2"/>
                <w:sz w:val="24"/>
                <w:szCs w:val="24"/>
                <w:lang w:val="en-US" w:eastAsia="zh-CN" w:bidi="ar"/>
              </w:rPr>
              <w:t>颜色搭配相似程度，</w:t>
            </w:r>
            <w:r>
              <w:rPr>
                <w:rFonts w:hint="eastAsia" w:ascii="仿宋" w:hAnsi="仿宋" w:eastAsia="仿宋" w:cs="仿宋"/>
                <w:kern w:val="0"/>
                <w:sz w:val="24"/>
                <w:szCs w:val="24"/>
                <w:lang w:val="en-US" w:eastAsia="zh-CN" w:bidi="ar"/>
              </w:rPr>
              <w:t>根据投标人对招标文件的第二章第三点技术参数要求（三）响应情况评审，每种搭配不符合的得0分，基本符合的得0.5分，符合的得1分，本项最多得8分。</w:t>
            </w:r>
          </w:p>
          <w:p w14:paraId="1AE60C0E">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仿宋"/>
                <w:b/>
                <w:bCs w:val="0"/>
                <w:color w:val="000000"/>
                <w:kern w:val="2"/>
                <w:sz w:val="24"/>
                <w:szCs w:val="24"/>
                <w:u w:val="single"/>
              </w:rPr>
            </w:pPr>
            <w:r>
              <w:rPr>
                <w:rFonts w:hint="eastAsia" w:ascii="仿宋" w:hAnsi="仿宋" w:eastAsia="仿宋" w:cs="仿宋"/>
                <w:b/>
                <w:bCs w:val="0"/>
                <w:color w:val="000000"/>
                <w:kern w:val="2"/>
                <w:sz w:val="24"/>
                <w:szCs w:val="24"/>
                <w:u w:val="single"/>
                <w:lang w:val="en-US" w:eastAsia="zh-CN" w:bidi="ar"/>
              </w:rPr>
              <w:t>技术参数中若有要求提供佐证材料的，未按要求提供相应佐证材料或者响应承诺与其佐证材料不一致的，即相应技术参数条款视为不满足招标文件要求，作负偏离处理。</w:t>
            </w:r>
          </w:p>
        </w:tc>
        <w:tc>
          <w:tcPr>
            <w:tcW w:w="990" w:type="dxa"/>
            <w:tcBorders>
              <w:top w:val="single" w:color="auto" w:sz="4" w:space="0"/>
              <w:left w:val="nil"/>
              <w:bottom w:val="single" w:color="auto" w:sz="4" w:space="0"/>
              <w:right w:val="single" w:color="auto" w:sz="4" w:space="0"/>
            </w:tcBorders>
            <w:shd w:val="clear" w:color="auto" w:fill="auto"/>
            <w:vAlign w:val="center"/>
          </w:tcPr>
          <w:p w14:paraId="6577A38D">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23分</w:t>
            </w:r>
          </w:p>
        </w:tc>
      </w:tr>
      <w:tr w14:paraId="59F19DC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14:paraId="4D73213B">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2</w:t>
            </w:r>
          </w:p>
        </w:tc>
        <w:tc>
          <w:tcPr>
            <w:tcW w:w="1535" w:type="dxa"/>
            <w:tcBorders>
              <w:top w:val="single" w:color="auto" w:sz="4" w:space="0"/>
              <w:left w:val="nil"/>
              <w:bottom w:val="single" w:color="auto" w:sz="4" w:space="0"/>
              <w:right w:val="single" w:color="auto" w:sz="4" w:space="0"/>
            </w:tcBorders>
            <w:shd w:val="clear" w:color="auto" w:fill="auto"/>
            <w:vAlign w:val="center"/>
          </w:tcPr>
          <w:p w14:paraId="498C3AB0">
            <w:pPr>
              <w:keepNext w:val="0"/>
              <w:keepLines w:val="0"/>
              <w:widowControl w:val="0"/>
              <w:suppressLineNumbers w:val="0"/>
              <w:tabs>
                <w:tab w:val="left" w:pos="1080"/>
              </w:tabs>
              <w:spacing w:before="0" w:beforeAutospacing="0" w:after="0" w:afterAutospacing="0" w:line="440" w:lineRule="exact"/>
              <w:ind w:left="0" w:right="0"/>
              <w:jc w:val="center"/>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项目实施方案</w:t>
            </w:r>
          </w:p>
        </w:tc>
        <w:tc>
          <w:tcPr>
            <w:tcW w:w="5583" w:type="dxa"/>
            <w:tcBorders>
              <w:top w:val="single" w:color="auto" w:sz="4" w:space="0"/>
              <w:left w:val="nil"/>
              <w:bottom w:val="single" w:color="auto" w:sz="4" w:space="0"/>
              <w:right w:val="single" w:color="auto" w:sz="4" w:space="0"/>
            </w:tcBorders>
            <w:shd w:val="clear" w:color="auto" w:fill="auto"/>
            <w:vAlign w:val="center"/>
          </w:tcPr>
          <w:p w14:paraId="3F9DCE16">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1.根据投标人针对本项目需求，提供的整体实施方案进行评分：方案完整，项目符合度高，专业性强，可实施性强的得6分；方案较完整，项目符合度较高，专业性较强，可实施性较强的得5分；方案基本完整，项目基本具有符合性、专业性、基本具有可实施性的得4分；方案一般，符合性、专业性、可实施性一般的得3分；方案存在一定缺陷，项目符合度较差，专业度较差的得2分；方案存在明显缺陷，与项目特征无关，可实施性存在困难的得1分。</w:t>
            </w:r>
          </w:p>
          <w:p w14:paraId="5D9D0BCF">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color w:val="000000"/>
                <w:kern w:val="0"/>
                <w:sz w:val="24"/>
                <w:szCs w:val="24"/>
                <w:lang w:val="en-US" w:eastAsia="zh-CN" w:bidi="ar"/>
              </w:rPr>
              <w:t>2.</w:t>
            </w:r>
            <w:r>
              <w:rPr>
                <w:rFonts w:hint="eastAsia" w:ascii="仿宋" w:hAnsi="仿宋" w:eastAsia="仿宋" w:cs="仿宋"/>
                <w:kern w:val="0"/>
                <w:sz w:val="24"/>
                <w:szCs w:val="24"/>
                <w:lang w:val="en-US" w:eastAsia="zh-CN" w:bidi="ar"/>
              </w:rPr>
              <w:t>根据投标人提供的</w:t>
            </w:r>
            <w:r>
              <w:rPr>
                <w:rFonts w:hint="eastAsia" w:ascii="仿宋" w:hAnsi="仿宋" w:eastAsia="仿宋" w:cs="仿宋"/>
                <w:color w:val="000000"/>
                <w:kern w:val="0"/>
                <w:sz w:val="24"/>
                <w:szCs w:val="24"/>
                <w:lang w:val="en-US" w:eastAsia="zh-CN" w:bidi="ar"/>
              </w:rPr>
              <w:t>确保供应货物质量的措施方案</w:t>
            </w:r>
            <w:r>
              <w:rPr>
                <w:rFonts w:hint="eastAsia" w:ascii="仿宋" w:hAnsi="仿宋" w:eastAsia="仿宋" w:cs="仿宋"/>
                <w:kern w:val="0"/>
                <w:sz w:val="24"/>
                <w:szCs w:val="24"/>
                <w:lang w:val="en-US" w:eastAsia="zh-CN" w:bidi="ar"/>
              </w:rPr>
              <w:t>进行评分</w:t>
            </w:r>
            <w:r>
              <w:rPr>
                <w:rFonts w:hint="eastAsia" w:ascii="仿宋" w:hAnsi="仿宋" w:eastAsia="仿宋" w:cs="仿宋"/>
                <w:color w:val="000000"/>
                <w:kern w:val="0"/>
                <w:sz w:val="24"/>
                <w:szCs w:val="24"/>
                <w:lang w:val="en-US" w:eastAsia="zh-CN" w:bidi="ar"/>
              </w:rPr>
              <w:t>：</w:t>
            </w:r>
            <w:r>
              <w:rPr>
                <w:rFonts w:hint="eastAsia" w:ascii="仿宋" w:hAnsi="仿宋" w:eastAsia="仿宋" w:cs="仿宋"/>
                <w:kern w:val="0"/>
                <w:sz w:val="24"/>
                <w:szCs w:val="24"/>
                <w:lang w:val="en-US" w:eastAsia="zh-CN" w:bidi="ar"/>
              </w:rPr>
              <w:t>方案科学合理，全面、可实施性强的得5分；方案较科学合理，较全面、可实施性较强的得4分；方案基本科学合理，基本全面、基本具有可实施性的得3分；方案一般、全面性及可行性一般的得2分；方案存在一定缺陷，全面性及可行性较差的得1分；方案存在明显缺陷，与项目特征无关，可实施性存在困难的得0分。</w:t>
            </w:r>
          </w:p>
          <w:p w14:paraId="728A98E0">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bCs/>
                <w:color w:val="000000"/>
                <w:kern w:val="2"/>
                <w:sz w:val="24"/>
                <w:szCs w:val="24"/>
                <w:lang w:val="en-US" w:eastAsia="zh-CN" w:bidi="ar"/>
              </w:rPr>
              <w:t>3.</w:t>
            </w:r>
            <w:r>
              <w:rPr>
                <w:rFonts w:hint="eastAsia" w:ascii="仿宋" w:hAnsi="仿宋" w:eastAsia="仿宋" w:cs="仿宋"/>
                <w:kern w:val="0"/>
                <w:sz w:val="24"/>
                <w:szCs w:val="24"/>
                <w:lang w:val="en-US" w:eastAsia="zh-CN" w:bidi="ar"/>
              </w:rPr>
              <w:t>根据投标人提供的安装调试方案进行评分，明确供货运输和安装调试方案、方案切实可行、满足采购人实际需求的得5分；供货运输和安装调试方案可行性较强的得4分；供货方案和安装方案基本满足使用要求的得3分；供货方案和安装方案一般的得2分；供货方案和安装方案存在一定缺陷的得1分；</w:t>
            </w:r>
            <w:r>
              <w:rPr>
                <w:rFonts w:hint="eastAsia" w:ascii="仿宋" w:hAnsi="仿宋" w:eastAsia="仿宋" w:cs="仿宋"/>
                <w:bCs/>
                <w:kern w:val="2"/>
                <w:sz w:val="24"/>
                <w:szCs w:val="24"/>
                <w:lang w:val="en-US" w:eastAsia="zh-CN" w:bidi="ar"/>
              </w:rPr>
              <w:t>供货、安装方案</w:t>
            </w:r>
            <w:r>
              <w:rPr>
                <w:rFonts w:hint="eastAsia" w:ascii="仿宋" w:hAnsi="仿宋" w:eastAsia="仿宋" w:cs="仿宋"/>
                <w:kern w:val="0"/>
                <w:sz w:val="24"/>
                <w:szCs w:val="24"/>
                <w:lang w:val="en-US" w:eastAsia="zh-CN" w:bidi="ar"/>
              </w:rPr>
              <w:t>存在明显缺陷的得0分。</w:t>
            </w:r>
          </w:p>
          <w:p w14:paraId="6D6C925D">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4.根据投标人的</w:t>
            </w:r>
            <w:r>
              <w:rPr>
                <w:rFonts w:hint="eastAsia" w:ascii="仿宋" w:hAnsi="仿宋" w:eastAsia="仿宋" w:cs="仿宋"/>
                <w:bCs/>
                <w:kern w:val="2"/>
                <w:sz w:val="24"/>
                <w:szCs w:val="24"/>
                <w:lang w:val="en-US" w:eastAsia="zh-CN" w:bidi="ar"/>
              </w:rPr>
              <w:t>项目进度计划及安排</w:t>
            </w:r>
            <w:r>
              <w:rPr>
                <w:rFonts w:hint="eastAsia" w:ascii="仿宋" w:hAnsi="仿宋" w:eastAsia="仿宋" w:cs="仿宋"/>
                <w:kern w:val="0"/>
                <w:sz w:val="24"/>
                <w:szCs w:val="24"/>
                <w:lang w:val="en-US" w:eastAsia="zh-CN" w:bidi="ar"/>
              </w:rPr>
              <w:t>方案、进度控制措施进行评分，进度计划安排合理且符合实施周期的要求，进度控制措施内容详细、完善、针对性强的得5分；进度计划安排较合理，进度控制措施内容较详细完善、针对性较强的得4分；进度计划安排基本合理，进度控制措施内容基本详细完善、基本具有针对性的得3分；进度计划安排基本满足，进度控制措施内容、针对性一般的得2分；工作进度计划及实施方案描述简单，存在一定缺陷的得1分；进度计划存在明显缺陷，针对性较差的得0分。</w:t>
            </w:r>
          </w:p>
          <w:p w14:paraId="73104F64">
            <w:pPr>
              <w:keepNext w:val="0"/>
              <w:keepLines w:val="0"/>
              <w:widowControl w:val="0"/>
              <w:suppressLineNumbers w:val="0"/>
              <w:spacing w:before="0" w:beforeAutospacing="0" w:after="0" w:afterAutospacing="0" w:line="440" w:lineRule="exact"/>
              <w:ind w:left="0" w:right="0" w:firstLine="241" w:firstLineChars="100"/>
              <w:jc w:val="both"/>
              <w:rPr>
                <w:rFonts w:hint="eastAsia" w:ascii="仿宋" w:hAnsi="仿宋" w:eastAsia="仿宋" w:cs="仿宋"/>
                <w:color w:val="000000"/>
                <w:kern w:val="2"/>
                <w:sz w:val="24"/>
                <w:szCs w:val="24"/>
              </w:rPr>
            </w:pPr>
            <w:r>
              <w:rPr>
                <w:rFonts w:hint="eastAsia" w:ascii="仿宋" w:hAnsi="仿宋" w:eastAsia="仿宋" w:cs="仿宋"/>
                <w:b/>
                <w:bCs/>
                <w:color w:val="000000"/>
                <w:kern w:val="2"/>
                <w:sz w:val="24"/>
                <w:szCs w:val="24"/>
                <w:u w:val="single"/>
                <w:lang w:val="en-US" w:eastAsia="zh-CN" w:bidi="ar"/>
              </w:rPr>
              <w:t>以上内容不提供不得分。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01A4CE39">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val="en-US" w:eastAsia="zh-CN" w:bidi="ar"/>
              </w:rPr>
              <w:t>21分</w:t>
            </w:r>
          </w:p>
        </w:tc>
      </w:tr>
      <w:tr w14:paraId="70DEB66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14:paraId="0B7A01D5">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3</w:t>
            </w:r>
          </w:p>
        </w:tc>
        <w:tc>
          <w:tcPr>
            <w:tcW w:w="1535" w:type="dxa"/>
            <w:tcBorders>
              <w:top w:val="single" w:color="auto" w:sz="4" w:space="0"/>
              <w:left w:val="nil"/>
              <w:bottom w:val="single" w:color="auto" w:sz="4" w:space="0"/>
              <w:right w:val="single" w:color="auto" w:sz="4" w:space="0"/>
            </w:tcBorders>
            <w:shd w:val="clear" w:color="auto" w:fill="auto"/>
            <w:vAlign w:val="center"/>
          </w:tcPr>
          <w:p w14:paraId="09502475">
            <w:pPr>
              <w:keepNext w:val="0"/>
              <w:keepLines w:val="0"/>
              <w:widowControl w:val="0"/>
              <w:suppressLineNumbers w:val="0"/>
              <w:tabs>
                <w:tab w:val="left" w:pos="1080"/>
              </w:tabs>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
              </w:rPr>
              <w:t>拟投入产品竞争力</w:t>
            </w:r>
          </w:p>
        </w:tc>
        <w:tc>
          <w:tcPr>
            <w:tcW w:w="5583" w:type="dxa"/>
            <w:tcBorders>
              <w:top w:val="single" w:color="auto" w:sz="4" w:space="0"/>
              <w:left w:val="nil"/>
              <w:bottom w:val="single" w:color="auto" w:sz="4" w:space="0"/>
              <w:right w:val="single" w:color="auto" w:sz="4" w:space="0"/>
            </w:tcBorders>
            <w:shd w:val="clear" w:color="auto" w:fill="auto"/>
            <w:vAlign w:val="center"/>
          </w:tcPr>
          <w:p w14:paraId="0EE4454C">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仿宋"/>
                <w:color w:val="000000"/>
                <w:kern w:val="2"/>
                <w:sz w:val="24"/>
                <w:szCs w:val="24"/>
              </w:rPr>
            </w:pPr>
            <w:r>
              <w:rPr>
                <w:rFonts w:hint="eastAsia" w:ascii="仿宋" w:hAnsi="仿宋" w:eastAsia="仿宋" w:cs="仿宋"/>
                <w:kern w:val="2"/>
                <w:sz w:val="24"/>
                <w:szCs w:val="24"/>
                <w:lang w:val="en-US" w:eastAsia="zh-CN" w:bidi="ar"/>
              </w:rPr>
              <w:t>拟投入产品竞争力进行评分，拟</w:t>
            </w:r>
            <w:r>
              <w:rPr>
                <w:rFonts w:hint="eastAsia" w:ascii="仿宋" w:hAnsi="仿宋" w:eastAsia="仿宋" w:cs="仿宋"/>
                <w:color w:val="000000"/>
                <w:kern w:val="2"/>
                <w:sz w:val="24"/>
                <w:szCs w:val="24"/>
                <w:lang w:val="en-US" w:eastAsia="zh-CN" w:bidi="ar"/>
              </w:rPr>
              <w:t>投入产品科学性、先进性、环保性、知名度、质量等方面完善且有利于本项目实施的得4分；</w:t>
            </w:r>
            <w:r>
              <w:rPr>
                <w:rFonts w:hint="eastAsia" w:ascii="仿宋" w:hAnsi="仿宋" w:eastAsia="仿宋" w:cs="仿宋"/>
                <w:kern w:val="2"/>
                <w:sz w:val="24"/>
                <w:szCs w:val="24"/>
                <w:lang w:val="en-US" w:eastAsia="zh-CN" w:bidi="ar"/>
              </w:rPr>
              <w:t>拟</w:t>
            </w:r>
            <w:r>
              <w:rPr>
                <w:rFonts w:hint="eastAsia" w:ascii="仿宋" w:hAnsi="仿宋" w:eastAsia="仿宋" w:cs="仿宋"/>
                <w:color w:val="000000"/>
                <w:kern w:val="2"/>
                <w:sz w:val="24"/>
                <w:szCs w:val="24"/>
                <w:lang w:val="en-US" w:eastAsia="zh-CN" w:bidi="ar"/>
              </w:rPr>
              <w:t>投入产品科学性、先进性、知名度、质量等方面满足基本实用性的得3分；</w:t>
            </w:r>
            <w:r>
              <w:rPr>
                <w:rFonts w:hint="eastAsia" w:ascii="仿宋" w:hAnsi="仿宋" w:eastAsia="仿宋" w:cs="仿宋"/>
                <w:kern w:val="2"/>
                <w:sz w:val="24"/>
                <w:szCs w:val="24"/>
                <w:lang w:val="en-US" w:eastAsia="zh-CN" w:bidi="ar"/>
              </w:rPr>
              <w:t>拟</w:t>
            </w:r>
            <w:r>
              <w:rPr>
                <w:rFonts w:hint="eastAsia" w:ascii="仿宋" w:hAnsi="仿宋" w:eastAsia="仿宋" w:cs="仿宋"/>
                <w:color w:val="000000"/>
                <w:kern w:val="2"/>
                <w:sz w:val="24"/>
                <w:szCs w:val="24"/>
                <w:lang w:val="en-US" w:eastAsia="zh-CN" w:bidi="ar"/>
              </w:rPr>
              <w:t>投入产品科学性、先进性、知名度、质量等方面可实用性不确定的得2分；</w:t>
            </w:r>
            <w:r>
              <w:rPr>
                <w:rFonts w:hint="eastAsia" w:ascii="仿宋" w:hAnsi="仿宋" w:eastAsia="仿宋" w:cs="仿宋"/>
                <w:kern w:val="2"/>
                <w:sz w:val="24"/>
                <w:szCs w:val="24"/>
                <w:lang w:val="en-US" w:eastAsia="zh-CN" w:bidi="ar"/>
              </w:rPr>
              <w:t>拟</w:t>
            </w:r>
            <w:r>
              <w:rPr>
                <w:rFonts w:hint="eastAsia" w:ascii="仿宋" w:hAnsi="仿宋" w:eastAsia="仿宋" w:cs="仿宋"/>
                <w:color w:val="000000"/>
                <w:kern w:val="2"/>
                <w:sz w:val="24"/>
                <w:szCs w:val="24"/>
                <w:lang w:val="en-US" w:eastAsia="zh-CN" w:bidi="ar"/>
              </w:rPr>
              <w:t>投入产品科学性、先进性、知名度、质量等方面存在明显瑕疵的得1分。</w:t>
            </w:r>
          </w:p>
          <w:p w14:paraId="7C5AEB78">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仿宋"/>
                <w:b/>
                <w:bCs w:val="0"/>
                <w:kern w:val="0"/>
                <w:sz w:val="24"/>
                <w:szCs w:val="24"/>
                <w:u w:val="single"/>
              </w:rPr>
            </w:pPr>
            <w:r>
              <w:rPr>
                <w:rFonts w:hint="eastAsia" w:ascii="仿宋" w:hAnsi="仿宋" w:eastAsia="仿宋" w:cs="仿宋"/>
                <w:b/>
                <w:bCs w:val="0"/>
                <w:kern w:val="0"/>
                <w:sz w:val="24"/>
                <w:szCs w:val="24"/>
                <w:u w:val="single"/>
                <w:lang w:val="en-US" w:eastAsia="zh-CN" w:bidi="ar"/>
              </w:rPr>
              <w:t>以上方案不提供不得分。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55BBB8F2">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color w:val="000000"/>
                <w:kern w:val="2"/>
                <w:sz w:val="24"/>
                <w:szCs w:val="24"/>
                <w:lang w:val="en-US" w:eastAsia="zh-CN" w:bidi="ar"/>
              </w:rPr>
              <w:t>4分</w:t>
            </w:r>
          </w:p>
        </w:tc>
      </w:tr>
      <w:tr w14:paraId="3F5AEDA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734" w:hRule="atLeast"/>
        </w:trPr>
        <w:tc>
          <w:tcPr>
            <w:tcW w:w="789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D978CCE">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2"/>
                <w:sz w:val="24"/>
                <w:szCs w:val="24"/>
                <w:lang w:val="en-US" w:eastAsia="zh-CN" w:bidi="ar"/>
              </w:rPr>
              <w:t>商务、资信及其他分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48B977B4">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b/>
                <w:bCs w:val="0"/>
                <w:kern w:val="0"/>
                <w:sz w:val="24"/>
                <w:szCs w:val="24"/>
              </w:rPr>
            </w:pPr>
            <w:r>
              <w:rPr>
                <w:rFonts w:hint="eastAsia" w:ascii="仿宋" w:hAnsi="仿宋" w:eastAsia="仿宋" w:cs="仿宋"/>
                <w:b/>
                <w:bCs w:val="0"/>
                <w:kern w:val="0"/>
                <w:sz w:val="24"/>
                <w:szCs w:val="24"/>
                <w:lang w:val="en-US" w:eastAsia="zh-CN" w:bidi="ar"/>
              </w:rPr>
              <w:t>22分</w:t>
            </w:r>
          </w:p>
        </w:tc>
      </w:tr>
      <w:tr w14:paraId="5678054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nil"/>
              <w:left w:val="single" w:color="auto" w:sz="4" w:space="0"/>
              <w:bottom w:val="single" w:color="auto" w:sz="4" w:space="0"/>
              <w:right w:val="single" w:color="auto" w:sz="4" w:space="0"/>
            </w:tcBorders>
            <w:shd w:val="clear" w:color="auto" w:fill="auto"/>
            <w:vAlign w:val="center"/>
          </w:tcPr>
          <w:p w14:paraId="6112A1D3">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4</w:t>
            </w:r>
          </w:p>
        </w:tc>
        <w:tc>
          <w:tcPr>
            <w:tcW w:w="1535" w:type="dxa"/>
            <w:tcBorders>
              <w:top w:val="nil"/>
              <w:left w:val="nil"/>
              <w:bottom w:val="single" w:color="auto" w:sz="4" w:space="0"/>
              <w:right w:val="single" w:color="auto" w:sz="4" w:space="0"/>
            </w:tcBorders>
            <w:shd w:val="clear" w:color="auto" w:fill="auto"/>
            <w:vAlign w:val="center"/>
          </w:tcPr>
          <w:p w14:paraId="22DD66CE">
            <w:pPr>
              <w:keepNext w:val="0"/>
              <w:keepLines w:val="0"/>
              <w:widowControl w:val="0"/>
              <w:suppressLineNumbers w:val="0"/>
              <w:snapToGrid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售后服务方案</w:t>
            </w:r>
          </w:p>
        </w:tc>
        <w:tc>
          <w:tcPr>
            <w:tcW w:w="5583" w:type="dxa"/>
            <w:tcBorders>
              <w:top w:val="single" w:color="auto" w:sz="4" w:space="0"/>
              <w:left w:val="nil"/>
              <w:bottom w:val="single" w:color="auto" w:sz="4" w:space="0"/>
              <w:right w:val="single" w:color="auto" w:sz="4" w:space="0"/>
            </w:tcBorders>
            <w:shd w:val="clear" w:color="auto" w:fill="auto"/>
            <w:vAlign w:val="center"/>
          </w:tcPr>
          <w:p w14:paraId="48785DB1">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综合考虑技术支持和售后服务体系、服务内容、故障解决方案、专业技术人员保障及服务电话等进行评审，售后服务方案完整，项目符合度高，专业性强，可实施性强的得5分；售后服务方案较完整，项目符合度较高，专业性较强，可实施性较强的得4分；方案基本完整，符合度、专业性、可实施性一般的得3分；方案有欠缺，项目符合度较差的得2分；方案不够充分，专业度低的得1分。</w:t>
            </w:r>
          </w:p>
          <w:p w14:paraId="6C2781D6">
            <w:pPr>
              <w:keepNext w:val="0"/>
              <w:keepLines w:val="0"/>
              <w:widowControl w:val="0"/>
              <w:suppressLineNumbers w:val="0"/>
              <w:snapToGrid w:val="0"/>
              <w:spacing w:before="0" w:beforeAutospacing="0" w:after="0" w:afterAutospacing="0" w:line="440" w:lineRule="exact"/>
              <w:ind w:left="0" w:right="0"/>
              <w:jc w:val="both"/>
              <w:rPr>
                <w:rFonts w:hint="eastAsia" w:ascii="仿宋" w:hAnsi="仿宋" w:eastAsia="仿宋" w:cs="仿宋"/>
                <w:b/>
                <w:bCs/>
                <w:color w:val="000000"/>
                <w:kern w:val="2"/>
                <w:sz w:val="24"/>
                <w:szCs w:val="24"/>
                <w:u w:val="single"/>
              </w:rPr>
            </w:pPr>
            <w:r>
              <w:rPr>
                <w:rFonts w:hint="eastAsia" w:ascii="仿宋" w:hAnsi="仿宋" w:eastAsia="仿宋" w:cs="仿宋"/>
                <w:b/>
                <w:bCs/>
                <w:color w:val="000000"/>
                <w:kern w:val="2"/>
                <w:sz w:val="24"/>
                <w:szCs w:val="24"/>
                <w:u w:val="single"/>
                <w:lang w:val="en-US" w:eastAsia="zh-CN" w:bidi="ar"/>
              </w:rPr>
              <w:t>以上内容不提供不得分。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0CB806C9">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5分</w:t>
            </w:r>
          </w:p>
        </w:tc>
      </w:tr>
      <w:tr w14:paraId="7186CE9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nil"/>
              <w:left w:val="single" w:color="auto" w:sz="4" w:space="0"/>
              <w:bottom w:val="single" w:color="auto" w:sz="4" w:space="0"/>
              <w:right w:val="single" w:color="auto" w:sz="4" w:space="0"/>
            </w:tcBorders>
            <w:shd w:val="clear" w:color="auto" w:fill="auto"/>
            <w:vAlign w:val="center"/>
          </w:tcPr>
          <w:p w14:paraId="38C966A9">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5</w:t>
            </w:r>
          </w:p>
        </w:tc>
        <w:tc>
          <w:tcPr>
            <w:tcW w:w="1535" w:type="dxa"/>
            <w:tcBorders>
              <w:top w:val="nil"/>
              <w:left w:val="nil"/>
              <w:bottom w:val="single" w:color="auto" w:sz="4" w:space="0"/>
              <w:right w:val="single" w:color="auto" w:sz="4" w:space="0"/>
            </w:tcBorders>
            <w:shd w:val="clear" w:color="auto" w:fill="auto"/>
            <w:vAlign w:val="center"/>
          </w:tcPr>
          <w:p w14:paraId="3D944F74">
            <w:pPr>
              <w:keepNext w:val="0"/>
              <w:keepLines w:val="0"/>
              <w:widowControl w:val="0"/>
              <w:suppressLineNumbers w:val="0"/>
              <w:snapToGrid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培训方案</w:t>
            </w:r>
          </w:p>
        </w:tc>
        <w:tc>
          <w:tcPr>
            <w:tcW w:w="5583" w:type="dxa"/>
            <w:tcBorders>
              <w:top w:val="single" w:color="auto" w:sz="4" w:space="0"/>
              <w:left w:val="nil"/>
              <w:bottom w:val="single" w:color="auto" w:sz="4" w:space="0"/>
              <w:right w:val="single" w:color="auto" w:sz="4" w:space="0"/>
            </w:tcBorders>
            <w:shd w:val="clear" w:color="auto" w:fill="auto"/>
            <w:vAlign w:val="center"/>
          </w:tcPr>
          <w:p w14:paraId="3007A4F0">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根据投标人提供的培训方案进行评分，培训内容全面合理、可行性强的得5分；培训方案基本全面合理、基本具有可行性的得4分；培训方案存在一定缺陷、可行性一般的3分；培训方案存在明显缺陷、可行性较差的2分；培训方案不完整的1分。</w:t>
            </w:r>
          </w:p>
          <w:p w14:paraId="16571C72">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b/>
                <w:bCs/>
                <w:color w:val="000000"/>
                <w:kern w:val="2"/>
                <w:sz w:val="24"/>
                <w:szCs w:val="24"/>
                <w:u w:val="single"/>
                <w:lang w:val="en-US" w:eastAsia="zh-CN" w:bidi="ar"/>
              </w:rPr>
              <w:t>以上内容不提供不得分。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5235B0F2">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5分</w:t>
            </w:r>
          </w:p>
        </w:tc>
      </w:tr>
      <w:tr w14:paraId="08E914F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nil"/>
              <w:left w:val="single" w:color="auto" w:sz="4" w:space="0"/>
              <w:bottom w:val="single" w:color="auto" w:sz="4" w:space="0"/>
              <w:right w:val="single" w:color="auto" w:sz="4" w:space="0"/>
            </w:tcBorders>
            <w:shd w:val="clear" w:color="auto" w:fill="auto"/>
            <w:vAlign w:val="center"/>
          </w:tcPr>
          <w:p w14:paraId="5FDCF866">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6</w:t>
            </w:r>
          </w:p>
        </w:tc>
        <w:tc>
          <w:tcPr>
            <w:tcW w:w="1535" w:type="dxa"/>
            <w:tcBorders>
              <w:top w:val="nil"/>
              <w:left w:val="nil"/>
              <w:bottom w:val="single" w:color="auto" w:sz="4" w:space="0"/>
              <w:right w:val="single" w:color="auto" w:sz="4" w:space="0"/>
            </w:tcBorders>
            <w:shd w:val="clear" w:color="auto" w:fill="auto"/>
            <w:vAlign w:val="center"/>
          </w:tcPr>
          <w:p w14:paraId="66DF7E8A">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其他承诺</w:t>
            </w:r>
          </w:p>
        </w:tc>
        <w:tc>
          <w:tcPr>
            <w:tcW w:w="5583" w:type="dxa"/>
            <w:tcBorders>
              <w:top w:val="single" w:color="auto" w:sz="4" w:space="0"/>
              <w:left w:val="nil"/>
              <w:bottom w:val="single" w:color="auto" w:sz="4" w:space="0"/>
              <w:right w:val="single" w:color="auto" w:sz="4" w:space="0"/>
            </w:tcBorders>
            <w:shd w:val="clear" w:color="auto" w:fill="auto"/>
            <w:vAlign w:val="center"/>
          </w:tcPr>
          <w:p w14:paraId="2ABDE9C9">
            <w:pPr>
              <w:keepNext w:val="0"/>
              <w:keepLines w:val="0"/>
              <w:widowControl w:val="0"/>
              <w:suppressLineNumbers w:val="0"/>
              <w:snapToGrid w:val="0"/>
              <w:spacing w:before="0" w:beforeAutospacing="0" w:after="0" w:afterAutospacing="0" w:line="440" w:lineRule="exact"/>
              <w:ind w:left="0" w:right="0"/>
              <w:jc w:val="both"/>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1.服务响应时间：接到采购人售后服务通知（电话、电传等）后2小时现场响应的得1分，2小时基础上每减少0.5小时加1分，本项最高得3分。</w:t>
            </w:r>
          </w:p>
          <w:p w14:paraId="528EA796">
            <w:pPr>
              <w:keepNext w:val="0"/>
              <w:keepLines w:val="0"/>
              <w:widowControl w:val="0"/>
              <w:suppressLineNumbers w:val="0"/>
              <w:snapToGrid w:val="0"/>
              <w:spacing w:before="0" w:beforeAutospacing="0" w:after="0" w:afterAutospacing="0" w:line="440" w:lineRule="exact"/>
              <w:ind w:left="0" w:right="0"/>
              <w:jc w:val="both"/>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2.响应招标文件质保期要求的基础上，每增加1年加1分，最高得3分。</w:t>
            </w:r>
          </w:p>
          <w:p w14:paraId="701C06A0">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宋体"/>
                <w:b/>
                <w:bCs w:val="0"/>
                <w:kern w:val="0"/>
                <w:sz w:val="24"/>
                <w:szCs w:val="24"/>
                <w:u w:val="single"/>
              </w:rPr>
            </w:pPr>
            <w:r>
              <w:rPr>
                <w:rFonts w:hint="eastAsia" w:ascii="仿宋" w:hAnsi="仿宋" w:eastAsia="仿宋" w:cs="仿宋"/>
                <w:b/>
                <w:bCs w:val="0"/>
                <w:kern w:val="0"/>
                <w:sz w:val="24"/>
                <w:szCs w:val="24"/>
                <w:u w:val="single"/>
                <w:lang w:val="en-US" w:eastAsia="zh-CN" w:bidi="ar"/>
              </w:rPr>
              <w:t>以上承诺需提供相关承诺函，未提供不得分。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6933277D">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6分</w:t>
            </w:r>
          </w:p>
        </w:tc>
      </w:tr>
      <w:tr w14:paraId="7C1E975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single" w:color="auto" w:sz="4" w:space="0"/>
              <w:left w:val="single" w:color="auto" w:sz="4" w:space="0"/>
              <w:bottom w:val="nil"/>
              <w:right w:val="single" w:color="auto" w:sz="4" w:space="0"/>
            </w:tcBorders>
            <w:shd w:val="clear" w:color="auto" w:fill="auto"/>
            <w:vAlign w:val="center"/>
          </w:tcPr>
          <w:p w14:paraId="717701BE">
            <w:pPr>
              <w:keepNext w:val="0"/>
              <w:keepLines w:val="0"/>
              <w:widowControl w:val="0"/>
              <w:suppressLineNumbers w:val="0"/>
              <w:spacing w:before="0" w:beforeAutospacing="0" w:after="0" w:afterAutospacing="0" w:line="440" w:lineRule="exact"/>
              <w:ind w:left="0" w:right="0"/>
              <w:jc w:val="center"/>
              <w:rPr>
                <w:rFonts w:hint="default"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bidi="ar"/>
              </w:rPr>
              <w:t>7</w:t>
            </w:r>
          </w:p>
        </w:tc>
        <w:tc>
          <w:tcPr>
            <w:tcW w:w="1535" w:type="dxa"/>
            <w:tcBorders>
              <w:top w:val="single" w:color="auto" w:sz="4" w:space="0"/>
              <w:left w:val="nil"/>
              <w:bottom w:val="nil"/>
              <w:right w:val="single" w:color="auto" w:sz="4" w:space="0"/>
            </w:tcBorders>
            <w:shd w:val="clear" w:color="auto" w:fill="auto"/>
            <w:vAlign w:val="center"/>
          </w:tcPr>
          <w:p w14:paraId="7F1A2508">
            <w:pPr>
              <w:keepNext w:val="0"/>
              <w:keepLines w:val="0"/>
              <w:widowControl w:val="0"/>
              <w:suppressLineNumbers w:val="0"/>
              <w:spacing w:before="0" w:beforeAutospacing="0" w:after="0" w:afterAutospacing="0" w:line="440" w:lineRule="exact"/>
              <w:ind w:left="0" w:right="0"/>
              <w:jc w:val="center"/>
              <w:rPr>
                <w:rFonts w:hint="default"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bidi="ar"/>
              </w:rPr>
              <w:t>企业实力</w:t>
            </w:r>
          </w:p>
        </w:tc>
        <w:tc>
          <w:tcPr>
            <w:tcW w:w="5583" w:type="dxa"/>
            <w:tcBorders>
              <w:top w:val="single" w:color="auto" w:sz="4" w:space="0"/>
              <w:left w:val="nil"/>
              <w:bottom w:val="nil"/>
              <w:right w:val="single" w:color="auto" w:sz="4" w:space="0"/>
            </w:tcBorders>
            <w:shd w:val="clear" w:color="auto" w:fill="auto"/>
            <w:vAlign w:val="center"/>
          </w:tcPr>
          <w:p w14:paraId="77CEFD57">
            <w:pPr>
              <w:keepNext w:val="0"/>
              <w:keepLines w:val="0"/>
              <w:widowControl w:val="0"/>
              <w:suppressLineNumbers w:val="0"/>
              <w:spacing w:before="0" w:beforeAutospacing="0" w:after="0" w:afterAutospacing="0" w:line="440" w:lineRule="exact"/>
              <w:ind w:left="0" w:right="0"/>
              <w:jc w:val="both"/>
              <w:rPr>
                <w:rFonts w:hint="default" w:ascii="仿宋" w:hAnsi="仿宋" w:eastAsia="仿宋" w:cs="楷体"/>
                <w:bCs/>
                <w:kern w:val="2"/>
                <w:sz w:val="24"/>
                <w:szCs w:val="24"/>
                <w:highlight w:val="none"/>
              </w:rPr>
            </w:pPr>
            <w:r>
              <w:rPr>
                <w:rFonts w:hint="eastAsia" w:ascii="仿宋" w:hAnsi="仿宋" w:eastAsia="仿宋" w:cs="仿宋"/>
                <w:bCs/>
                <w:kern w:val="2"/>
                <w:sz w:val="24"/>
                <w:szCs w:val="24"/>
                <w:highlight w:val="none"/>
                <w:lang w:val="en-US" w:eastAsia="zh-CN" w:bidi="ar"/>
              </w:rPr>
              <w:t>供应商或所投产品制造商具有有效的职业健康安全管理体系认证证书、质量管理体系认证证书、环境管理体系认证证书的，每提供一个证书得1分，本项最高得3分。</w:t>
            </w:r>
          </w:p>
          <w:p w14:paraId="610DF2E5">
            <w:pPr>
              <w:keepNext w:val="0"/>
              <w:keepLines w:val="0"/>
              <w:widowControl w:val="0"/>
              <w:suppressLineNumbers w:val="0"/>
              <w:spacing w:before="0" w:beforeAutospacing="0" w:after="0" w:afterAutospacing="0" w:line="440" w:lineRule="exact"/>
              <w:ind w:left="0" w:right="0"/>
              <w:jc w:val="both"/>
              <w:rPr>
                <w:rFonts w:hint="default" w:ascii="仿宋" w:hAnsi="仿宋" w:eastAsia="仿宋" w:cs="楷体"/>
                <w:b/>
                <w:bCs/>
                <w:kern w:val="2"/>
                <w:sz w:val="24"/>
                <w:szCs w:val="24"/>
                <w:highlight w:val="none"/>
                <w:u w:val="single"/>
              </w:rPr>
            </w:pPr>
            <w:r>
              <w:rPr>
                <w:rFonts w:hint="eastAsia" w:ascii="仿宋" w:hAnsi="仿宋" w:eastAsia="仿宋" w:cs="仿宋"/>
                <w:b/>
                <w:bCs/>
                <w:kern w:val="2"/>
                <w:sz w:val="24"/>
                <w:szCs w:val="24"/>
                <w:highlight w:val="none"/>
                <w:u w:val="single"/>
                <w:lang w:val="en-US" w:eastAsia="zh-CN" w:bidi="ar"/>
              </w:rPr>
              <w:t>注：提供有效认证证书复印件及全国认证认可信息公共服务平台网站证书信息截图加盖投标人公章，否则不予认可。</w:t>
            </w:r>
          </w:p>
        </w:tc>
        <w:tc>
          <w:tcPr>
            <w:tcW w:w="990" w:type="dxa"/>
            <w:tcBorders>
              <w:top w:val="single" w:color="auto" w:sz="4" w:space="0"/>
              <w:left w:val="nil"/>
              <w:bottom w:val="single" w:color="auto" w:sz="4" w:space="0"/>
              <w:right w:val="single" w:color="auto" w:sz="4" w:space="0"/>
            </w:tcBorders>
            <w:shd w:val="clear" w:color="auto" w:fill="auto"/>
            <w:vAlign w:val="center"/>
          </w:tcPr>
          <w:p w14:paraId="30F2E008">
            <w:pPr>
              <w:keepNext w:val="0"/>
              <w:keepLines w:val="0"/>
              <w:widowControl w:val="0"/>
              <w:suppressLineNumbers w:val="0"/>
              <w:spacing w:before="0" w:beforeAutospacing="0" w:after="0" w:afterAutospacing="0" w:line="440" w:lineRule="exact"/>
              <w:ind w:left="0" w:right="0"/>
              <w:jc w:val="center"/>
              <w:rPr>
                <w:rFonts w:hint="default"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bidi="ar"/>
              </w:rPr>
              <w:t>3分</w:t>
            </w:r>
          </w:p>
        </w:tc>
      </w:tr>
      <w:tr w14:paraId="3E43A48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0" w:hRule="atLeast"/>
        </w:trPr>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14:paraId="69885532">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8</w:t>
            </w:r>
          </w:p>
        </w:tc>
        <w:tc>
          <w:tcPr>
            <w:tcW w:w="1535" w:type="dxa"/>
            <w:tcBorders>
              <w:top w:val="single" w:color="auto" w:sz="4" w:space="0"/>
              <w:left w:val="nil"/>
              <w:bottom w:val="single" w:color="auto" w:sz="4" w:space="0"/>
              <w:right w:val="single" w:color="auto" w:sz="4" w:space="0"/>
            </w:tcBorders>
            <w:shd w:val="clear" w:color="auto" w:fill="auto"/>
            <w:vAlign w:val="center"/>
          </w:tcPr>
          <w:p w14:paraId="1AC110AB">
            <w:pPr>
              <w:keepNext w:val="0"/>
              <w:keepLines w:val="0"/>
              <w:widowControl/>
              <w:suppressLineNumbers w:val="0"/>
              <w:snapToGrid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企业业绩</w:t>
            </w:r>
          </w:p>
        </w:tc>
        <w:tc>
          <w:tcPr>
            <w:tcW w:w="5583" w:type="dxa"/>
            <w:tcBorders>
              <w:top w:val="single" w:color="auto" w:sz="4" w:space="0"/>
              <w:left w:val="nil"/>
              <w:bottom w:val="single" w:color="auto" w:sz="4" w:space="0"/>
              <w:right w:val="single" w:color="auto" w:sz="4" w:space="0"/>
            </w:tcBorders>
            <w:shd w:val="clear" w:color="auto" w:fill="auto"/>
            <w:vAlign w:val="center"/>
          </w:tcPr>
          <w:p w14:paraId="79C5F2A3">
            <w:pPr>
              <w:keepNext w:val="0"/>
              <w:keepLines w:val="0"/>
              <w:widowControl/>
              <w:suppressLineNumbers w:val="0"/>
              <w:snapToGrid w:val="0"/>
              <w:spacing w:before="0" w:beforeAutospacing="0" w:after="0" w:afterAutospacing="0" w:line="440" w:lineRule="exact"/>
              <w:ind w:left="0" w:right="0"/>
              <w:jc w:val="left"/>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投标人自</w:t>
            </w:r>
            <w:r>
              <w:rPr>
                <w:rFonts w:hint="eastAsia" w:ascii="仿宋" w:hAnsi="仿宋" w:eastAsia="仿宋" w:cs="宋体"/>
                <w:kern w:val="0"/>
                <w:sz w:val="24"/>
                <w:szCs w:val="24"/>
                <w:lang w:val="en-US" w:eastAsia="zh-CN" w:bidi="ar"/>
              </w:rPr>
              <w:t xml:space="preserve"> </w:t>
            </w:r>
            <w:r>
              <w:rPr>
                <w:rFonts w:hint="eastAsia" w:ascii="仿宋" w:hAnsi="仿宋" w:eastAsia="仿宋" w:cs="仿宋"/>
                <w:kern w:val="0"/>
                <w:sz w:val="24"/>
                <w:szCs w:val="24"/>
                <w:lang w:val="en-US" w:eastAsia="zh-CN" w:bidi="ar"/>
              </w:rPr>
              <w:t>2023年 1 月 1 日以来（以合同签订日期为准）承担过同类业绩的，每提供一个业绩及其证明材料得1分，本项最高得3分。</w:t>
            </w:r>
          </w:p>
          <w:p w14:paraId="789614C2">
            <w:pPr>
              <w:keepNext w:val="0"/>
              <w:keepLines w:val="0"/>
              <w:widowControl w:val="0"/>
              <w:suppressLineNumbers w:val="0"/>
              <w:spacing w:before="0" w:beforeAutospacing="0" w:after="0" w:afterAutospacing="0" w:line="440" w:lineRule="exact"/>
              <w:ind w:left="0" w:right="0"/>
              <w:jc w:val="left"/>
              <w:rPr>
                <w:rFonts w:hint="eastAsia" w:ascii="仿宋" w:hAnsi="仿宋" w:eastAsia="仿宋" w:cs="宋体"/>
                <w:b/>
                <w:bCs w:val="0"/>
                <w:kern w:val="0"/>
                <w:sz w:val="24"/>
                <w:szCs w:val="24"/>
                <w:u w:val="single"/>
              </w:rPr>
            </w:pPr>
            <w:r>
              <w:rPr>
                <w:rFonts w:hint="eastAsia" w:ascii="仿宋" w:hAnsi="仿宋" w:eastAsia="仿宋" w:cs="仿宋"/>
                <w:b/>
                <w:bCs w:val="0"/>
                <w:kern w:val="0"/>
                <w:sz w:val="24"/>
                <w:szCs w:val="24"/>
                <w:u w:val="single"/>
                <w:lang w:val="en-US" w:eastAsia="zh-CN" w:bidi="ar"/>
              </w:rPr>
              <w:t>同类业绩是指与采购标的同品类的产品案例，须提供合同扫描件并加盖公章，且合同内容能体现同品类的采购内容，未提供或提供内容不完整的不得分。</w:t>
            </w:r>
          </w:p>
        </w:tc>
        <w:tc>
          <w:tcPr>
            <w:tcW w:w="990" w:type="dxa"/>
            <w:tcBorders>
              <w:top w:val="single" w:color="auto" w:sz="4" w:space="0"/>
              <w:left w:val="nil"/>
              <w:bottom w:val="single" w:color="auto" w:sz="4" w:space="0"/>
              <w:right w:val="single" w:color="auto" w:sz="4" w:space="0"/>
            </w:tcBorders>
            <w:shd w:val="clear" w:color="auto" w:fill="auto"/>
            <w:vAlign w:val="center"/>
          </w:tcPr>
          <w:p w14:paraId="459DA181">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bidi="ar"/>
              </w:rPr>
              <w:t>3分</w:t>
            </w:r>
          </w:p>
        </w:tc>
      </w:tr>
    </w:tbl>
    <w:p w14:paraId="369380BF">
      <w:pPr>
        <w:pStyle w:val="2"/>
        <w:jc w:val="both"/>
        <w:rPr>
          <w:highlight w:val="none"/>
        </w:rPr>
      </w:pPr>
    </w:p>
    <w:p w14:paraId="28011AF4">
      <w:pPr>
        <w:rPr>
          <w:rFonts w:ascii="仿宋" w:hAnsi="仿宋" w:eastAsia="仿宋" w:cs="仿宋"/>
          <w:sz w:val="28"/>
          <w:szCs w:val="28"/>
          <w:highlight w:val="none"/>
        </w:rPr>
      </w:pPr>
      <w:r>
        <w:rPr>
          <w:rFonts w:hint="eastAsia" w:ascii="仿宋" w:hAnsi="仿宋" w:eastAsia="仿宋" w:cs="仿宋"/>
          <w:sz w:val="28"/>
          <w:szCs w:val="28"/>
          <w:highlight w:val="none"/>
        </w:rPr>
        <w:br w:type="page"/>
      </w:r>
    </w:p>
    <w:p w14:paraId="2EBB4563">
      <w:pPr>
        <w:jc w:val="left"/>
        <w:rPr>
          <w:rFonts w:ascii="仿宋" w:hAnsi="仿宋" w:eastAsia="仿宋" w:cs="仿宋"/>
          <w:sz w:val="28"/>
          <w:szCs w:val="28"/>
          <w:highlight w:val="none"/>
        </w:rPr>
      </w:pPr>
      <w:r>
        <w:rPr>
          <w:rFonts w:hint="eastAsia" w:ascii="仿宋" w:hAnsi="仿宋" w:eastAsia="仿宋" w:cs="仿宋"/>
          <w:sz w:val="28"/>
          <w:szCs w:val="28"/>
          <w:highlight w:val="none"/>
        </w:rPr>
        <w:t>附录3</w:t>
      </w:r>
    </w:p>
    <w:p w14:paraId="223C6EEF">
      <w:pPr>
        <w:ind w:firstLine="480"/>
        <w:jc w:val="right"/>
        <w:rPr>
          <w:rFonts w:ascii="Times New Roman" w:hAnsi="Times New Roman" w:eastAsia="宋体" w:cs="Times New Roman"/>
          <w:sz w:val="40"/>
          <w:szCs w:val="36"/>
          <w:highlight w:val="none"/>
        </w:rPr>
      </w:pPr>
      <w:r>
        <w:rPr>
          <w:rFonts w:hint="eastAsia" w:ascii="Times New Roman" w:hAnsi="Times New Roman" w:eastAsia="宋体" w:cs="Times New Roman"/>
          <w:sz w:val="40"/>
          <w:szCs w:val="36"/>
          <w:highlight w:val="none"/>
        </w:rPr>
        <w:t>正本/副本</w:t>
      </w:r>
    </w:p>
    <w:p w14:paraId="41024167">
      <w:pPr>
        <w:ind w:firstLine="480"/>
        <w:jc w:val="right"/>
        <w:rPr>
          <w:rFonts w:ascii="Times New Roman" w:hAnsi="Times New Roman" w:eastAsia="宋体" w:cs="Times New Roman"/>
          <w:szCs w:val="22"/>
          <w:highlight w:val="none"/>
        </w:rPr>
      </w:pPr>
    </w:p>
    <w:p w14:paraId="58319FA9">
      <w:pPr>
        <w:jc w:val="center"/>
        <w:rPr>
          <w:rFonts w:ascii="Times New Roman" w:hAnsi="Times New Roman" w:eastAsia="宋体" w:cs="Times New Roman"/>
          <w:sz w:val="84"/>
          <w:szCs w:val="84"/>
          <w:highlight w:val="none"/>
        </w:rPr>
      </w:pPr>
    </w:p>
    <w:p w14:paraId="16AFED63">
      <w:pPr>
        <w:jc w:val="center"/>
        <w:rPr>
          <w:rFonts w:ascii="Times New Roman" w:hAnsi="Times New Roman" w:eastAsia="宋体" w:cs="Times New Roman"/>
          <w:sz w:val="84"/>
          <w:szCs w:val="84"/>
          <w:highlight w:val="none"/>
        </w:rPr>
      </w:pPr>
    </w:p>
    <w:p w14:paraId="52005323">
      <w:pPr>
        <w:jc w:val="center"/>
        <w:rPr>
          <w:rFonts w:ascii="Times New Roman" w:hAnsi="Times New Roman" w:eastAsia="宋体" w:cs="Times New Roman"/>
          <w:sz w:val="84"/>
          <w:szCs w:val="84"/>
          <w:highlight w:val="none"/>
        </w:rPr>
      </w:pPr>
    </w:p>
    <w:p w14:paraId="5AFBC848">
      <w:pPr>
        <w:jc w:val="center"/>
        <w:outlineLvl w:val="1"/>
        <w:rPr>
          <w:rFonts w:ascii="Times New Roman" w:hAnsi="Times New Roman" w:eastAsia="宋体" w:cs="Times New Roman"/>
          <w:sz w:val="96"/>
          <w:szCs w:val="72"/>
          <w:highlight w:val="none"/>
        </w:rPr>
      </w:pPr>
      <w:r>
        <w:rPr>
          <w:rFonts w:hint="eastAsia" w:ascii="Times New Roman" w:hAnsi="Times New Roman" w:eastAsia="宋体" w:cs="Times New Roman"/>
          <w:sz w:val="96"/>
          <w:szCs w:val="72"/>
          <w:highlight w:val="none"/>
        </w:rPr>
        <w:t>资格文件</w:t>
      </w:r>
    </w:p>
    <w:p w14:paraId="1FA4E057">
      <w:pPr>
        <w:jc w:val="center"/>
        <w:rPr>
          <w:rFonts w:ascii="Times New Roman" w:hAnsi="Times New Roman" w:eastAsia="宋体" w:cs="Times New Roman"/>
          <w:szCs w:val="22"/>
          <w:highlight w:val="none"/>
        </w:rPr>
      </w:pPr>
    </w:p>
    <w:p w14:paraId="06CDEA29">
      <w:pPr>
        <w:jc w:val="center"/>
        <w:rPr>
          <w:rFonts w:ascii="Times New Roman" w:hAnsi="Times New Roman" w:eastAsia="宋体" w:cs="Times New Roman"/>
          <w:szCs w:val="22"/>
          <w:highlight w:val="none"/>
        </w:rPr>
      </w:pPr>
    </w:p>
    <w:p w14:paraId="06D36B61">
      <w:pPr>
        <w:jc w:val="center"/>
        <w:rPr>
          <w:rFonts w:ascii="Times New Roman" w:hAnsi="Times New Roman" w:eastAsia="宋体" w:cs="Times New Roman"/>
          <w:szCs w:val="22"/>
          <w:highlight w:val="none"/>
        </w:rPr>
      </w:pPr>
    </w:p>
    <w:p w14:paraId="5E6B2432">
      <w:pPr>
        <w:jc w:val="center"/>
        <w:rPr>
          <w:rFonts w:ascii="Times New Roman" w:hAnsi="Times New Roman" w:eastAsia="宋体" w:cs="Times New Roman"/>
          <w:szCs w:val="22"/>
          <w:highlight w:val="none"/>
        </w:rPr>
      </w:pPr>
    </w:p>
    <w:p w14:paraId="41D4C68A">
      <w:pPr>
        <w:jc w:val="center"/>
        <w:rPr>
          <w:rFonts w:ascii="Times New Roman" w:hAnsi="Times New Roman" w:eastAsia="宋体" w:cs="Times New Roman"/>
          <w:szCs w:val="22"/>
          <w:highlight w:val="none"/>
        </w:rPr>
      </w:pPr>
    </w:p>
    <w:p w14:paraId="77A8BB4F">
      <w:pPr>
        <w:jc w:val="center"/>
        <w:rPr>
          <w:rFonts w:ascii="Times New Roman" w:hAnsi="Times New Roman" w:eastAsia="宋体" w:cs="Times New Roman"/>
          <w:szCs w:val="22"/>
          <w:highlight w:val="none"/>
        </w:rPr>
      </w:pPr>
    </w:p>
    <w:p w14:paraId="02E3E211">
      <w:pPr>
        <w:jc w:val="center"/>
        <w:rPr>
          <w:rFonts w:ascii="Times New Roman" w:hAnsi="Times New Roman" w:eastAsia="宋体" w:cs="Times New Roman"/>
          <w:szCs w:val="22"/>
          <w:highlight w:val="none"/>
        </w:rPr>
      </w:pPr>
    </w:p>
    <w:p w14:paraId="6A21EC2F">
      <w:pPr>
        <w:jc w:val="center"/>
        <w:rPr>
          <w:rFonts w:ascii="Times New Roman" w:hAnsi="Times New Roman" w:eastAsia="宋体" w:cs="Times New Roman"/>
          <w:szCs w:val="22"/>
          <w:highlight w:val="none"/>
        </w:rPr>
      </w:pPr>
    </w:p>
    <w:p w14:paraId="60CC3459">
      <w:pPr>
        <w:pStyle w:val="6"/>
        <w:ind w:firstLine="280"/>
        <w:rPr>
          <w:highlight w:val="none"/>
        </w:rPr>
      </w:pPr>
      <w:r>
        <w:rPr>
          <w:rFonts w:hint="eastAsia"/>
          <w:highlight w:val="none"/>
        </w:rPr>
        <w:t>项目名称：</w:t>
      </w:r>
    </w:p>
    <w:p w14:paraId="68615DA0">
      <w:pPr>
        <w:pStyle w:val="6"/>
        <w:ind w:firstLine="280"/>
        <w:rPr>
          <w:highlight w:val="none"/>
        </w:rPr>
      </w:pPr>
      <w:r>
        <w:rPr>
          <w:rFonts w:hint="eastAsia"/>
          <w:highlight w:val="none"/>
        </w:rPr>
        <w:t>项目编号：</w:t>
      </w:r>
    </w:p>
    <w:p w14:paraId="381231EF">
      <w:pPr>
        <w:pStyle w:val="6"/>
        <w:ind w:firstLine="280"/>
        <w:rPr>
          <w:highlight w:val="none"/>
        </w:rPr>
      </w:pPr>
      <w:r>
        <w:rPr>
          <w:rFonts w:hint="eastAsia"/>
          <w:highlight w:val="none"/>
        </w:rPr>
        <w:t>投标人名称：</w:t>
      </w:r>
    </w:p>
    <w:p w14:paraId="008D5D6B">
      <w:pPr>
        <w:pStyle w:val="6"/>
        <w:ind w:firstLine="280"/>
        <w:rPr>
          <w:highlight w:val="none"/>
        </w:rPr>
      </w:pPr>
      <w:r>
        <w:rPr>
          <w:rFonts w:hint="eastAsia"/>
          <w:highlight w:val="none"/>
        </w:rPr>
        <w:t>投标人地址：</w:t>
      </w:r>
    </w:p>
    <w:p w14:paraId="2B76B2D5">
      <w:pPr>
        <w:pStyle w:val="6"/>
        <w:ind w:firstLine="280"/>
        <w:rPr>
          <w:highlight w:val="none"/>
        </w:rPr>
      </w:pPr>
      <w:r>
        <w:rPr>
          <w:rFonts w:hint="eastAsia"/>
          <w:highlight w:val="none"/>
        </w:rPr>
        <w:t>在年月日时分之前不得启封</w:t>
      </w:r>
    </w:p>
    <w:p w14:paraId="69BD6101">
      <w:pPr>
        <w:ind w:firstLine="480"/>
        <w:jc w:val="right"/>
        <w:rPr>
          <w:rFonts w:ascii="Times New Roman" w:hAnsi="Times New Roman" w:eastAsia="宋体" w:cs="Times New Roman"/>
          <w:sz w:val="28"/>
          <w:highlight w:val="none"/>
        </w:rPr>
      </w:pPr>
    </w:p>
    <w:p w14:paraId="7D910B8B">
      <w:pPr>
        <w:ind w:firstLine="480"/>
        <w:jc w:val="right"/>
        <w:rPr>
          <w:rFonts w:ascii="Times New Roman" w:hAnsi="Times New Roman" w:eastAsia="宋体" w:cs="Times New Roman"/>
          <w:sz w:val="28"/>
          <w:highlight w:val="none"/>
        </w:rPr>
      </w:pPr>
      <w:r>
        <w:rPr>
          <w:rFonts w:hint="eastAsia" w:ascii="Times New Roman" w:hAnsi="Times New Roman" w:eastAsia="宋体" w:cs="Times New Roman"/>
          <w:sz w:val="28"/>
          <w:highlight w:val="none"/>
        </w:rPr>
        <w:t>年月日</w:t>
      </w:r>
    </w:p>
    <w:p w14:paraId="7BCE805A">
      <w:pPr>
        <w:rPr>
          <w:rFonts w:ascii="Times New Roman" w:hAnsi="Times New Roman" w:eastAsia="宋体" w:cs="Times New Roman"/>
          <w:szCs w:val="22"/>
          <w:highlight w:val="none"/>
          <w:lang w:eastAsia="zh-Hans"/>
        </w:rPr>
      </w:pPr>
      <w:r>
        <w:rPr>
          <w:rFonts w:hint="eastAsia" w:ascii="Times New Roman" w:hAnsi="Times New Roman" w:eastAsia="宋体" w:cs="Times New Roman"/>
          <w:szCs w:val="22"/>
          <w:highlight w:val="none"/>
        </w:rPr>
        <w:br w:type="page"/>
      </w:r>
    </w:p>
    <w:p w14:paraId="3C7185B9">
      <w:pPr>
        <w:pStyle w:val="20"/>
        <w:numPr>
          <w:ilvl w:val="0"/>
          <w:numId w:val="9"/>
        </w:numPr>
        <w:ind w:firstLineChars="0"/>
        <w:rPr>
          <w:rFonts w:hint="default" w:ascii="仿宋" w:hAnsi="仿宋" w:eastAsia="仿宋" w:cs="仿宋"/>
          <w:sz w:val="32"/>
          <w:szCs w:val="32"/>
          <w:highlight w:val="none"/>
        </w:rPr>
      </w:pPr>
      <w:r>
        <w:rPr>
          <w:rFonts w:ascii="仿宋" w:hAnsi="仿宋" w:eastAsia="仿宋" w:cs="仿宋"/>
          <w:sz w:val="32"/>
          <w:szCs w:val="32"/>
          <w:highlight w:val="none"/>
        </w:rPr>
        <w:t>有效的营业执照复印件，非法人企业需提供其他证明材料（加盖公章）；</w:t>
      </w:r>
    </w:p>
    <w:p w14:paraId="531BEC89">
      <w:pPr>
        <w:pStyle w:val="20"/>
        <w:numPr>
          <w:ilvl w:val="0"/>
          <w:numId w:val="9"/>
        </w:numPr>
        <w:ind w:firstLineChars="0"/>
        <w:rPr>
          <w:rFonts w:hint="default" w:ascii="仿宋" w:hAnsi="仿宋" w:eastAsia="仿宋" w:cs="仿宋"/>
          <w:sz w:val="32"/>
          <w:szCs w:val="32"/>
          <w:highlight w:val="none"/>
        </w:rPr>
      </w:pPr>
      <w:r>
        <w:rPr>
          <w:rFonts w:ascii="仿宋" w:hAnsi="仿宋" w:eastAsia="仿宋" w:cs="仿宋"/>
          <w:sz w:val="32"/>
          <w:szCs w:val="32"/>
          <w:highlight w:val="none"/>
        </w:rPr>
        <w:t>提供自采购公告发布之日起至开标截止时间止的“信用中国”网站（www.creditchina.gov.cn）、中国政府采购网（www.ccgp.gov.cn）投标人信用查询网页截图（以开标当日采购人核实的查询结果为准）；</w:t>
      </w:r>
    </w:p>
    <w:p w14:paraId="6BE772F8">
      <w:pPr>
        <w:pStyle w:val="20"/>
        <w:numPr>
          <w:ilvl w:val="0"/>
          <w:numId w:val="9"/>
        </w:numPr>
        <w:ind w:firstLineChars="0"/>
        <w:rPr>
          <w:rFonts w:hint="default" w:ascii="仿宋" w:hAnsi="仿宋" w:eastAsia="仿宋" w:cs="仿宋"/>
          <w:sz w:val="32"/>
          <w:szCs w:val="32"/>
          <w:highlight w:val="none"/>
        </w:rPr>
      </w:pPr>
      <w:r>
        <w:rPr>
          <w:rFonts w:ascii="仿宋" w:hAnsi="仿宋" w:eastAsia="仿宋" w:cs="仿宋"/>
          <w:sz w:val="32"/>
          <w:szCs w:val="32"/>
          <w:highlight w:val="none"/>
        </w:rPr>
        <w:t>法定代表人身份证复印件（加盖公章）；如非法定代表人参与开标，需额外提供法定代表人授权委托书原件（加盖公章）、授权委托人身份证复印件（加盖公章）；</w:t>
      </w:r>
    </w:p>
    <w:p w14:paraId="55A9D584">
      <w:pPr>
        <w:pStyle w:val="20"/>
        <w:numPr>
          <w:ilvl w:val="0"/>
          <w:numId w:val="9"/>
        </w:numPr>
        <w:ind w:firstLineChars="0"/>
        <w:rPr>
          <w:rFonts w:hint="default"/>
          <w:bCs/>
          <w:sz w:val="32"/>
          <w:szCs w:val="36"/>
          <w:highlight w:val="none"/>
        </w:rPr>
      </w:pPr>
      <w:r>
        <w:rPr>
          <w:rFonts w:ascii="仿宋" w:hAnsi="仿宋" w:eastAsia="仿宋" w:cs="仿宋"/>
          <w:sz w:val="32"/>
          <w:szCs w:val="32"/>
          <w:highlight w:val="none"/>
        </w:rPr>
        <w:t>投标声明书；</w:t>
      </w:r>
    </w:p>
    <w:p w14:paraId="555CE89C">
      <w:pPr>
        <w:pStyle w:val="20"/>
        <w:numPr>
          <w:ilvl w:val="0"/>
          <w:numId w:val="9"/>
        </w:numPr>
        <w:ind w:firstLineChars="0"/>
        <w:rPr>
          <w:rFonts w:hint="default"/>
          <w:bCs/>
          <w:sz w:val="32"/>
          <w:szCs w:val="36"/>
          <w:highlight w:val="none"/>
        </w:rPr>
      </w:pPr>
      <w:r>
        <w:rPr>
          <w:rFonts w:ascii="仿宋" w:hAnsi="仿宋" w:eastAsia="仿宋" w:cs="仿宋"/>
          <w:sz w:val="32"/>
          <w:szCs w:val="32"/>
          <w:highlight w:val="none"/>
        </w:rPr>
        <w:t>其他供应商认为有必要提供的材料。</w:t>
      </w:r>
    </w:p>
    <w:p w14:paraId="36857230">
      <w:pPr>
        <w:rPr>
          <w:sz w:val="28"/>
          <w:szCs w:val="28"/>
          <w:highlight w:val="none"/>
        </w:rPr>
        <w:sectPr>
          <w:headerReference r:id="rId5" w:type="default"/>
          <w:pgSz w:w="11906" w:h="16838"/>
          <w:pgMar w:top="1134" w:right="1531" w:bottom="992" w:left="1531" w:header="851" w:footer="992" w:gutter="0"/>
          <w:cols w:space="0" w:num="1"/>
          <w:docGrid w:type="lines" w:linePitch="312" w:charSpace="0"/>
        </w:sectPr>
      </w:pPr>
    </w:p>
    <w:p w14:paraId="44FC6242">
      <w:pPr>
        <w:keepNext/>
        <w:keepLines/>
        <w:jc w:val="center"/>
        <w:outlineLvl w:val="2"/>
        <w:rPr>
          <w:rFonts w:ascii="微软雅黑" w:hAnsi="微软雅黑" w:eastAsia="仿宋" w:cs="微软雅黑"/>
          <w:bCs/>
          <w:szCs w:val="22"/>
          <w:highlight w:val="none"/>
        </w:rPr>
      </w:pPr>
      <w:r>
        <w:rPr>
          <w:rFonts w:hint="eastAsia" w:ascii="Times New Roman" w:hAnsi="Times New Roman" w:eastAsia="仿宋" w:cs="Times New Roman"/>
          <w:b/>
          <w:sz w:val="30"/>
          <w:szCs w:val="22"/>
          <w:highlight w:val="none"/>
        </w:rPr>
        <w:t>法定代表人授权委托书</w:t>
      </w:r>
    </w:p>
    <w:p w14:paraId="3386201A">
      <w:pPr>
        <w:pStyle w:val="20"/>
        <w:ind w:firstLine="0" w:firstLineChars="0"/>
        <w:rPr>
          <w:rFonts w:hint="default"/>
          <w:highlight w:val="none"/>
        </w:rPr>
      </w:pPr>
      <w:r>
        <w:rPr>
          <w:highlight w:val="none"/>
        </w:rPr>
        <w:t>致湖州学院：</w:t>
      </w:r>
    </w:p>
    <w:p w14:paraId="1428076B">
      <w:pPr>
        <w:pStyle w:val="20"/>
        <w:ind w:firstLine="480"/>
        <w:rPr>
          <w:rFonts w:hint="default"/>
          <w:highlight w:val="none"/>
        </w:rPr>
      </w:pPr>
      <w:r>
        <w:rPr>
          <w:highlight w:val="none"/>
        </w:rPr>
        <w:t>本人（姓名），身份证号，系（供应商名称）的法定代表人，现授权委托（姓名），身份证号，为授权委托人。以我方的名义参加编号：，名称：的投标活动，并代表我方全权办理针对上述项目的投标、开标、评标、签约等具体事务和签署相关文件。</w:t>
      </w:r>
    </w:p>
    <w:p w14:paraId="05C6CDDD">
      <w:pPr>
        <w:pStyle w:val="20"/>
        <w:ind w:firstLine="480"/>
        <w:rPr>
          <w:rFonts w:hint="default"/>
          <w:highlight w:val="none"/>
        </w:rPr>
      </w:pPr>
      <w:r>
        <w:rPr>
          <w:highlight w:val="none"/>
        </w:rPr>
        <w:t>我方对授权委托人的签名事项负全部责任。</w:t>
      </w:r>
    </w:p>
    <w:p w14:paraId="63FBF6A2">
      <w:pPr>
        <w:pStyle w:val="20"/>
        <w:ind w:firstLine="480"/>
        <w:rPr>
          <w:rFonts w:hint="default"/>
          <w:highlight w:val="none"/>
        </w:rPr>
      </w:pPr>
      <w:r>
        <w:rPr>
          <w:highlight w:val="none"/>
        </w:rPr>
        <w:t>本授权书自签订之日起180日内有效，授权委托人在授权书有效期内签署的所有文件不因授权的撤销而失效。</w:t>
      </w:r>
    </w:p>
    <w:p w14:paraId="4A482504">
      <w:pPr>
        <w:pStyle w:val="20"/>
        <w:ind w:firstLine="480"/>
        <w:rPr>
          <w:rFonts w:hint="default"/>
          <w:highlight w:val="none"/>
        </w:rPr>
      </w:pPr>
      <w:r>
        <w:rPr>
          <w:highlight w:val="none"/>
        </w:rPr>
        <w:t>授权委托人无转委托权，特此委托。</w:t>
      </w:r>
    </w:p>
    <w:p w14:paraId="2404C27F">
      <w:pPr>
        <w:pStyle w:val="20"/>
        <w:ind w:firstLine="480"/>
        <w:rPr>
          <w:rFonts w:hint="default"/>
          <w:highlight w:val="none"/>
        </w:rPr>
      </w:pPr>
    </w:p>
    <w:p w14:paraId="63566BD1">
      <w:pPr>
        <w:pStyle w:val="20"/>
        <w:ind w:firstLine="480"/>
        <w:rPr>
          <w:rFonts w:hint="default"/>
          <w:highlight w:val="none"/>
        </w:rPr>
      </w:pPr>
      <w:r>
        <w:rPr>
          <w:highlight w:val="none"/>
        </w:rPr>
        <w:t>授权委托人签名：法定代表人签名：</w:t>
      </w:r>
    </w:p>
    <w:p w14:paraId="33FBBDD3">
      <w:pPr>
        <w:pStyle w:val="20"/>
        <w:ind w:firstLine="480"/>
        <w:rPr>
          <w:rFonts w:hint="default"/>
          <w:highlight w:val="none"/>
        </w:rPr>
      </w:pPr>
      <w:r>
        <w:rPr>
          <w:highlight w:val="none"/>
        </w:rPr>
        <w:t>供应商全称公章：</w:t>
      </w:r>
    </w:p>
    <w:p w14:paraId="5CE85E83">
      <w:pPr>
        <w:pStyle w:val="20"/>
        <w:ind w:firstLine="480"/>
        <w:rPr>
          <w:rFonts w:hint="default"/>
          <w:highlight w:val="none"/>
        </w:rPr>
      </w:pPr>
    </w:p>
    <w:p w14:paraId="5C940261">
      <w:pPr>
        <w:pStyle w:val="20"/>
        <w:ind w:firstLine="480"/>
        <w:rPr>
          <w:rFonts w:hint="default"/>
          <w:highlight w:val="none"/>
          <w:lang w:eastAsia="zh-Hans"/>
        </w:rPr>
      </w:pPr>
      <w:r>
        <w:rPr>
          <w:highlight w:val="none"/>
          <w:lang w:eastAsia="zh-Hans"/>
        </w:rPr>
        <w:t>日期：年月日</w:t>
      </w:r>
    </w:p>
    <w:tbl>
      <w:tblPr>
        <w:tblStyle w:val="14"/>
        <w:tblW w:w="916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6"/>
        <w:gridCol w:w="375"/>
        <w:gridCol w:w="4280"/>
      </w:tblGrid>
      <w:tr w14:paraId="5096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506" w:type="dxa"/>
            <w:tcBorders>
              <w:top w:val="single" w:color="auto" w:sz="4" w:space="0"/>
              <w:left w:val="single" w:color="auto" w:sz="4" w:space="0"/>
              <w:bottom w:val="single" w:color="auto" w:sz="4" w:space="0"/>
              <w:right w:val="single" w:color="auto" w:sz="4" w:space="0"/>
            </w:tcBorders>
            <w:shd w:val="clear" w:color="auto" w:fill="auto"/>
            <w:vAlign w:val="center"/>
          </w:tcPr>
          <w:p w14:paraId="107E1A7F">
            <w:pPr>
              <w:keepNext w:val="0"/>
              <w:keepLines w:val="0"/>
              <w:suppressLineNumbers w:val="0"/>
              <w:spacing w:before="0" w:beforeAutospacing="0" w:after="0" w:afterAutospacing="0" w:line="360" w:lineRule="auto"/>
              <w:ind w:left="0" w:right="0"/>
              <w:jc w:val="center"/>
              <w:rPr>
                <w:rFonts w:hint="default" w:ascii="宋体" w:hAnsi="宋体" w:eastAsia="宋体" w:cs="宋体"/>
                <w:b/>
                <w:bCs/>
                <w:spacing w:val="24"/>
                <w:sz w:val="24"/>
                <w:highlight w:val="none"/>
                <w:lang w:bidi="ar"/>
              </w:rPr>
            </w:pPr>
            <w:r>
              <w:rPr>
                <w:rFonts w:hint="eastAsia" w:ascii="宋体" w:hAnsi="宋体" w:eastAsia="宋体" w:cs="宋体"/>
                <w:b/>
                <w:bCs/>
                <w:spacing w:val="24"/>
                <w:sz w:val="24"/>
                <w:highlight w:val="none"/>
                <w:lang w:bidi="ar"/>
              </w:rPr>
              <w:t>法定代表人居民身份证</w:t>
            </w:r>
          </w:p>
          <w:p w14:paraId="414E9864">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复印件</w:t>
            </w:r>
          </w:p>
          <w:p w14:paraId="5EC19261">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（正面）</w:t>
            </w:r>
          </w:p>
        </w:tc>
        <w:tc>
          <w:tcPr>
            <w:tcW w:w="375" w:type="dxa"/>
            <w:tcBorders>
              <w:top w:val="nil"/>
              <w:left w:val="nil"/>
              <w:bottom w:val="nil"/>
              <w:right w:val="single" w:color="auto" w:sz="4" w:space="0"/>
            </w:tcBorders>
            <w:shd w:val="clear" w:color="auto" w:fill="auto"/>
          </w:tcPr>
          <w:p w14:paraId="56717D73">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p>
        </w:tc>
        <w:tc>
          <w:tcPr>
            <w:tcW w:w="4280" w:type="dxa"/>
            <w:tcBorders>
              <w:top w:val="single" w:color="auto" w:sz="4" w:space="0"/>
              <w:left w:val="nil"/>
              <w:bottom w:val="single" w:color="auto" w:sz="4" w:space="0"/>
              <w:right w:val="single" w:color="auto" w:sz="4" w:space="0"/>
            </w:tcBorders>
            <w:shd w:val="clear" w:color="auto" w:fill="auto"/>
            <w:vAlign w:val="center"/>
          </w:tcPr>
          <w:p w14:paraId="4F8E8B49">
            <w:pPr>
              <w:keepNext w:val="0"/>
              <w:keepLines w:val="0"/>
              <w:suppressLineNumbers w:val="0"/>
              <w:spacing w:before="0" w:beforeAutospacing="0" w:after="0" w:afterAutospacing="0" w:line="360" w:lineRule="auto"/>
              <w:ind w:left="0" w:right="0"/>
              <w:jc w:val="center"/>
              <w:rPr>
                <w:rFonts w:hint="default" w:ascii="宋体" w:hAnsi="宋体" w:eastAsia="宋体" w:cs="宋体"/>
                <w:b/>
                <w:bCs/>
                <w:spacing w:val="24"/>
                <w:sz w:val="24"/>
                <w:highlight w:val="none"/>
                <w:lang w:bidi="ar"/>
              </w:rPr>
            </w:pPr>
            <w:r>
              <w:rPr>
                <w:rFonts w:hint="eastAsia" w:ascii="宋体" w:hAnsi="宋体" w:eastAsia="宋体" w:cs="宋体"/>
                <w:b/>
                <w:bCs/>
                <w:spacing w:val="24"/>
                <w:sz w:val="24"/>
                <w:highlight w:val="none"/>
                <w:lang w:bidi="ar"/>
              </w:rPr>
              <w:t>法定代表人居民身份证</w:t>
            </w:r>
          </w:p>
          <w:p w14:paraId="4C85EA8E">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复印件</w:t>
            </w:r>
          </w:p>
          <w:p w14:paraId="0E950C6F">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（反面）</w:t>
            </w:r>
          </w:p>
        </w:tc>
      </w:tr>
    </w:tbl>
    <w:p w14:paraId="4593B27F">
      <w:pPr>
        <w:spacing w:line="360" w:lineRule="auto"/>
        <w:jc w:val="center"/>
        <w:rPr>
          <w:rFonts w:ascii="宋体" w:hAnsi="宋体" w:eastAsia="宋体" w:cs="宋体"/>
          <w:spacing w:val="24"/>
          <w:sz w:val="24"/>
          <w:highlight w:val="none"/>
          <w:lang w:bidi="ar"/>
        </w:rPr>
      </w:pPr>
    </w:p>
    <w:tbl>
      <w:tblPr>
        <w:tblStyle w:val="14"/>
        <w:tblW w:w="916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5"/>
        <w:gridCol w:w="356"/>
        <w:gridCol w:w="4280"/>
      </w:tblGrid>
      <w:tr w14:paraId="337B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525" w:type="dxa"/>
            <w:tcBorders>
              <w:top w:val="single" w:color="auto" w:sz="4" w:space="0"/>
              <w:left w:val="single" w:color="auto" w:sz="4" w:space="0"/>
              <w:bottom w:val="single" w:color="auto" w:sz="4" w:space="0"/>
              <w:right w:val="single" w:color="auto" w:sz="4" w:space="0"/>
            </w:tcBorders>
            <w:shd w:val="clear" w:color="auto" w:fill="auto"/>
            <w:vAlign w:val="center"/>
          </w:tcPr>
          <w:p w14:paraId="7C3E5AFC">
            <w:pPr>
              <w:keepNext w:val="0"/>
              <w:keepLines w:val="0"/>
              <w:suppressLineNumbers w:val="0"/>
              <w:spacing w:before="0" w:beforeAutospacing="0" w:after="0" w:afterAutospacing="0" w:line="360" w:lineRule="auto"/>
              <w:ind w:left="0" w:right="0"/>
              <w:jc w:val="center"/>
              <w:rPr>
                <w:rFonts w:hint="default" w:ascii="宋体" w:hAnsi="宋体" w:eastAsia="宋体" w:cs="宋体"/>
                <w:b/>
                <w:bCs/>
                <w:spacing w:val="24"/>
                <w:sz w:val="24"/>
                <w:highlight w:val="none"/>
                <w:lang w:bidi="ar"/>
              </w:rPr>
            </w:pPr>
            <w:r>
              <w:rPr>
                <w:rFonts w:hint="eastAsia" w:ascii="宋体" w:hAnsi="宋体" w:eastAsia="宋体" w:cs="宋体"/>
                <w:b/>
                <w:bCs/>
                <w:spacing w:val="24"/>
                <w:sz w:val="24"/>
                <w:highlight w:val="none"/>
                <w:lang w:bidi="ar"/>
              </w:rPr>
              <w:t>授权委托人居民身份证</w:t>
            </w:r>
          </w:p>
          <w:p w14:paraId="6B8310C4">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复印件</w:t>
            </w:r>
          </w:p>
          <w:p w14:paraId="7B96FD56">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（正面）</w:t>
            </w:r>
          </w:p>
        </w:tc>
        <w:tc>
          <w:tcPr>
            <w:tcW w:w="356" w:type="dxa"/>
            <w:tcBorders>
              <w:top w:val="nil"/>
              <w:left w:val="nil"/>
              <w:bottom w:val="nil"/>
              <w:right w:val="single" w:color="auto" w:sz="4" w:space="0"/>
            </w:tcBorders>
            <w:shd w:val="clear" w:color="auto" w:fill="auto"/>
          </w:tcPr>
          <w:p w14:paraId="2D92E707">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p>
        </w:tc>
        <w:tc>
          <w:tcPr>
            <w:tcW w:w="4280" w:type="dxa"/>
            <w:tcBorders>
              <w:top w:val="single" w:color="auto" w:sz="4" w:space="0"/>
              <w:left w:val="nil"/>
              <w:bottom w:val="single" w:color="auto" w:sz="4" w:space="0"/>
              <w:right w:val="single" w:color="auto" w:sz="4" w:space="0"/>
            </w:tcBorders>
            <w:shd w:val="clear" w:color="auto" w:fill="auto"/>
            <w:vAlign w:val="center"/>
          </w:tcPr>
          <w:p w14:paraId="7E6367D7">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b/>
                <w:bCs/>
                <w:spacing w:val="24"/>
                <w:sz w:val="24"/>
                <w:highlight w:val="none"/>
                <w:lang w:bidi="ar"/>
              </w:rPr>
              <w:t>授权委托人居民身份证</w:t>
            </w:r>
          </w:p>
          <w:p w14:paraId="53F52CC7">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复印件</w:t>
            </w:r>
          </w:p>
          <w:p w14:paraId="53214795">
            <w:pPr>
              <w:keepNext w:val="0"/>
              <w:keepLines w:val="0"/>
              <w:suppressLineNumbers w:val="0"/>
              <w:spacing w:before="0" w:beforeAutospacing="0" w:after="0" w:afterAutospacing="0" w:line="360" w:lineRule="auto"/>
              <w:ind w:left="0" w:right="0"/>
              <w:jc w:val="center"/>
              <w:rPr>
                <w:rFonts w:hint="default" w:ascii="宋体" w:hAnsi="宋体" w:eastAsia="宋体" w:cs="宋体"/>
                <w:spacing w:val="24"/>
                <w:sz w:val="24"/>
                <w:highlight w:val="none"/>
                <w:lang w:bidi="ar"/>
              </w:rPr>
            </w:pPr>
            <w:r>
              <w:rPr>
                <w:rFonts w:hint="eastAsia" w:ascii="宋体" w:hAnsi="宋体" w:eastAsia="宋体" w:cs="宋体"/>
                <w:spacing w:val="24"/>
                <w:sz w:val="24"/>
                <w:highlight w:val="none"/>
                <w:lang w:bidi="ar"/>
              </w:rPr>
              <w:t>（反面）</w:t>
            </w:r>
          </w:p>
        </w:tc>
      </w:tr>
    </w:tbl>
    <w:p w14:paraId="48BE0098">
      <w:pPr>
        <w:pStyle w:val="20"/>
        <w:ind w:firstLine="480"/>
        <w:rPr>
          <w:rFonts w:hint="default"/>
          <w:highlight w:val="none"/>
        </w:rPr>
      </w:pPr>
      <w:r>
        <w:rPr>
          <w:highlight w:val="none"/>
        </w:rPr>
        <w:br w:type="page"/>
      </w:r>
    </w:p>
    <w:p w14:paraId="7A1EEC32">
      <w:pPr>
        <w:keepNext/>
        <w:keepLines/>
        <w:jc w:val="center"/>
        <w:outlineLvl w:val="2"/>
        <w:rPr>
          <w:rFonts w:ascii="Times New Roman" w:hAnsi="Times New Roman" w:eastAsia="仿宋" w:cs="Times New Roman"/>
          <w:b/>
          <w:sz w:val="30"/>
          <w:szCs w:val="22"/>
          <w:highlight w:val="none"/>
          <w:lang w:eastAsia="zh-Hans"/>
        </w:rPr>
      </w:pPr>
      <w:r>
        <w:rPr>
          <w:rFonts w:hint="eastAsia" w:ascii="Times New Roman" w:hAnsi="Times New Roman" w:eastAsia="仿宋" w:cs="Times New Roman"/>
          <w:b/>
          <w:sz w:val="30"/>
          <w:szCs w:val="22"/>
          <w:highlight w:val="none"/>
          <w:lang w:eastAsia="zh-Hans"/>
        </w:rPr>
        <w:t>投标声明书</w:t>
      </w:r>
    </w:p>
    <w:p w14:paraId="4B543E8A">
      <w:pPr>
        <w:rPr>
          <w:rFonts w:ascii="Times New Roman" w:hAnsi="Times New Roman" w:eastAsia="宋体" w:cs="Times New Roman"/>
          <w:szCs w:val="22"/>
          <w:highlight w:val="none"/>
        </w:rPr>
      </w:pPr>
    </w:p>
    <w:p w14:paraId="2FE03DDA">
      <w:pPr>
        <w:pStyle w:val="20"/>
        <w:ind w:firstLine="0" w:firstLineChars="0"/>
        <w:rPr>
          <w:rFonts w:hint="default"/>
          <w:highlight w:val="none"/>
        </w:rPr>
      </w:pPr>
      <w:r>
        <w:rPr>
          <w:highlight w:val="none"/>
        </w:rPr>
        <w:t>致湖州学院：</w:t>
      </w:r>
    </w:p>
    <w:p w14:paraId="3AD4B106">
      <w:pPr>
        <w:pStyle w:val="20"/>
        <w:ind w:firstLine="480"/>
        <w:rPr>
          <w:rFonts w:hint="default"/>
          <w:highlight w:val="none"/>
        </w:rPr>
      </w:pPr>
      <w:r>
        <w:rPr>
          <w:highlight w:val="none"/>
        </w:rPr>
        <w:t>我方自愿参加贵方组织的招标活动（编号：，名称：），为便于贵方公正、择优地确定中标人及其投标项目的招标，我方就本次投标有关事项郑重声明如下：</w:t>
      </w:r>
    </w:p>
    <w:p w14:paraId="43F77329">
      <w:pPr>
        <w:pStyle w:val="20"/>
        <w:ind w:firstLine="480"/>
        <w:rPr>
          <w:rFonts w:hint="default"/>
          <w:highlight w:val="none"/>
        </w:rPr>
      </w:pPr>
      <w:r>
        <w:rPr>
          <w:highlight w:val="none"/>
        </w:rPr>
        <w:t>（一）我方具备《中华人民共和国政府采购法》第二十二条第一款规定的条件：</w:t>
      </w:r>
    </w:p>
    <w:p w14:paraId="2DEA2702">
      <w:pPr>
        <w:pStyle w:val="20"/>
        <w:ind w:firstLine="480"/>
        <w:rPr>
          <w:rFonts w:hint="default"/>
          <w:highlight w:val="none"/>
        </w:rPr>
      </w:pPr>
      <w:r>
        <w:rPr>
          <w:highlight w:val="none"/>
        </w:rPr>
        <w:t>1.具有独立承担民事责任的能力；</w:t>
      </w:r>
    </w:p>
    <w:p w14:paraId="6EDCD07C">
      <w:pPr>
        <w:pStyle w:val="20"/>
        <w:ind w:firstLine="480"/>
        <w:rPr>
          <w:rFonts w:hint="eastAsia" w:eastAsia="宋体"/>
          <w:highlight w:val="none"/>
          <w:lang w:eastAsia="zh-CN"/>
        </w:rPr>
      </w:pPr>
      <w:r>
        <w:rPr>
          <w:highlight w:val="none"/>
        </w:rPr>
        <w:t>2.具有良好的商业信誉和健全的财务会计制度；</w:t>
      </w:r>
    </w:p>
    <w:p w14:paraId="1450CC56">
      <w:pPr>
        <w:pStyle w:val="20"/>
        <w:ind w:firstLine="480"/>
        <w:rPr>
          <w:rFonts w:hint="default"/>
          <w:highlight w:val="none"/>
        </w:rPr>
      </w:pPr>
      <w:r>
        <w:rPr>
          <w:highlight w:val="none"/>
        </w:rPr>
        <w:t>3.具有履行合同所必需的设备和专业技术能力；</w:t>
      </w:r>
    </w:p>
    <w:p w14:paraId="64F8131C">
      <w:pPr>
        <w:pStyle w:val="20"/>
        <w:ind w:firstLine="480"/>
        <w:rPr>
          <w:rFonts w:hint="default"/>
          <w:highlight w:val="none"/>
        </w:rPr>
      </w:pPr>
      <w:r>
        <w:rPr>
          <w:highlight w:val="none"/>
        </w:rPr>
        <w:t>4.有依法缴纳税收和社会保障资金的良好记录；</w:t>
      </w:r>
    </w:p>
    <w:p w14:paraId="63CA2191">
      <w:pPr>
        <w:pStyle w:val="20"/>
        <w:ind w:firstLine="480"/>
        <w:rPr>
          <w:rFonts w:hint="default"/>
          <w:highlight w:val="none"/>
        </w:rPr>
      </w:pPr>
      <w:r>
        <w:rPr>
          <w:highlight w:val="none"/>
        </w:rPr>
        <w:t>5.参加政府采购活动前三年内，在经营活动中没有重大违法记录；</w:t>
      </w:r>
    </w:p>
    <w:p w14:paraId="4B6A7CC2">
      <w:pPr>
        <w:pStyle w:val="20"/>
        <w:ind w:firstLine="480"/>
        <w:rPr>
          <w:rFonts w:hint="default"/>
          <w:highlight w:val="none"/>
        </w:rPr>
      </w:pPr>
      <w:r>
        <w:rPr>
          <w:highlight w:val="none"/>
        </w:rPr>
        <w:t>6.具有法律、行政法规规定的其他条件。</w:t>
      </w:r>
    </w:p>
    <w:p w14:paraId="01A16449">
      <w:pPr>
        <w:pStyle w:val="20"/>
        <w:ind w:firstLine="480"/>
        <w:rPr>
          <w:rFonts w:hint="default"/>
          <w:highlight w:val="none"/>
        </w:rPr>
      </w:pPr>
      <w:r>
        <w:rPr>
          <w:highlight w:val="none"/>
        </w:rPr>
        <w:t>（二）我方未被信用中国（www.creditchina.gov.cn）、中国政府采购网（www.ccgp.gov.cn）列入失信被执行人、重大税收违法案件当事人名单、政府采购严重违法失信行为记录名单。</w:t>
      </w:r>
    </w:p>
    <w:p w14:paraId="0E39EBC4">
      <w:pPr>
        <w:pStyle w:val="20"/>
        <w:ind w:firstLine="480"/>
        <w:rPr>
          <w:rFonts w:hint="default"/>
          <w:highlight w:val="none"/>
        </w:rPr>
      </w:pPr>
      <w:r>
        <w:rPr>
          <w:highlight w:val="none"/>
        </w:rPr>
        <w:t>（三）我方不存在以下情况：</w:t>
      </w:r>
    </w:p>
    <w:p w14:paraId="05E38EA9">
      <w:pPr>
        <w:pStyle w:val="20"/>
        <w:ind w:firstLine="480"/>
        <w:rPr>
          <w:rFonts w:hint="default"/>
          <w:highlight w:val="none"/>
        </w:rPr>
      </w:pPr>
      <w:r>
        <w:rPr>
          <w:highlight w:val="none"/>
        </w:rPr>
        <w:t>1.单位负责人为同一人或者存在直接控股、管理关系的不同供应商参加同一合同项下的政府采购活动的；</w:t>
      </w:r>
    </w:p>
    <w:p w14:paraId="334C0DFC">
      <w:pPr>
        <w:pStyle w:val="20"/>
        <w:ind w:firstLine="480"/>
        <w:rPr>
          <w:rFonts w:hint="default"/>
          <w:highlight w:val="none"/>
        </w:rPr>
      </w:pPr>
      <w:r>
        <w:rPr>
          <w:highlight w:val="none"/>
        </w:rPr>
        <w:t>2.为采购项目提供整体设计、规范编制或者项目管理、监理、检测等服务后再参加该采购项目的其他采购活动。</w:t>
      </w:r>
    </w:p>
    <w:p w14:paraId="73FD209F">
      <w:pPr>
        <w:pStyle w:val="20"/>
        <w:ind w:firstLine="480"/>
        <w:rPr>
          <w:rFonts w:hint="default"/>
          <w:highlight w:val="none"/>
        </w:rPr>
      </w:pPr>
      <w:r>
        <w:rPr>
          <w:highlight w:val="none"/>
        </w:rPr>
        <w:t>以上事项如有虚假或隐瞒，我方愿意承担一切后果和责任。</w:t>
      </w:r>
    </w:p>
    <w:p w14:paraId="0335F6D1">
      <w:pPr>
        <w:pStyle w:val="20"/>
        <w:ind w:firstLine="480"/>
        <w:rPr>
          <w:rFonts w:hint="default"/>
          <w:highlight w:val="none"/>
        </w:rPr>
      </w:pPr>
    </w:p>
    <w:p w14:paraId="2C073AA1">
      <w:pPr>
        <w:pStyle w:val="20"/>
        <w:ind w:firstLine="480"/>
        <w:rPr>
          <w:rFonts w:hint="default"/>
          <w:highlight w:val="none"/>
        </w:rPr>
      </w:pPr>
      <w:r>
        <w:rPr>
          <w:highlight w:val="none"/>
        </w:rPr>
        <w:t>法定代表人或授权委托人签字：</w:t>
      </w:r>
    </w:p>
    <w:p w14:paraId="1EF06F50">
      <w:pPr>
        <w:pStyle w:val="20"/>
        <w:ind w:firstLine="480"/>
        <w:rPr>
          <w:rFonts w:hint="default"/>
          <w:highlight w:val="none"/>
        </w:rPr>
      </w:pPr>
    </w:p>
    <w:p w14:paraId="63D8F4DB">
      <w:pPr>
        <w:pStyle w:val="20"/>
        <w:ind w:firstLine="480"/>
        <w:rPr>
          <w:rFonts w:hint="default"/>
          <w:highlight w:val="none"/>
        </w:rPr>
      </w:pPr>
      <w:r>
        <w:rPr>
          <w:highlight w:val="none"/>
        </w:rPr>
        <w:t>供应商全称公章：</w:t>
      </w:r>
    </w:p>
    <w:p w14:paraId="409B9E36">
      <w:pPr>
        <w:pStyle w:val="20"/>
        <w:ind w:firstLine="480"/>
        <w:rPr>
          <w:rFonts w:hint="default"/>
          <w:highlight w:val="none"/>
        </w:rPr>
      </w:pPr>
    </w:p>
    <w:p w14:paraId="66B3F894">
      <w:pPr>
        <w:pStyle w:val="20"/>
        <w:ind w:firstLine="480"/>
        <w:rPr>
          <w:rFonts w:hint="default"/>
          <w:szCs w:val="22"/>
          <w:highlight w:val="none"/>
        </w:rPr>
      </w:pPr>
      <w:r>
        <w:rPr>
          <w:highlight w:val="none"/>
        </w:rPr>
        <w:t>日期：年月日</w:t>
      </w:r>
      <w:r>
        <w:rPr>
          <w:szCs w:val="22"/>
          <w:highlight w:val="none"/>
        </w:rPr>
        <w:br w:type="page"/>
      </w:r>
    </w:p>
    <w:p w14:paraId="716E01D2">
      <w:pPr>
        <w:jc w:val="left"/>
        <w:rPr>
          <w:rFonts w:ascii="宋体" w:hAnsi="宋体" w:eastAsia="宋体" w:cs="宋体"/>
          <w:sz w:val="24"/>
          <w:highlight w:val="none"/>
        </w:rPr>
      </w:pPr>
      <w:bookmarkStart w:id="0" w:name="附录4"/>
      <w:r>
        <w:rPr>
          <w:rFonts w:hint="eastAsia" w:ascii="Times New Roman" w:hAnsi="Times New Roman" w:eastAsia="宋体" w:cs="Times New Roman"/>
          <w:sz w:val="28"/>
          <w:szCs w:val="28"/>
          <w:highlight w:val="none"/>
        </w:rPr>
        <w:t>附件4</w:t>
      </w:r>
      <w:bookmarkEnd w:id="0"/>
    </w:p>
    <w:p w14:paraId="54ACF2E0">
      <w:pPr>
        <w:ind w:firstLine="480"/>
        <w:jc w:val="right"/>
        <w:rPr>
          <w:rFonts w:ascii="Times New Roman" w:hAnsi="Times New Roman" w:eastAsia="宋体" w:cs="Times New Roman"/>
          <w:sz w:val="40"/>
          <w:szCs w:val="36"/>
          <w:highlight w:val="none"/>
        </w:rPr>
      </w:pPr>
      <w:r>
        <w:rPr>
          <w:rFonts w:hint="eastAsia" w:ascii="Times New Roman" w:hAnsi="Times New Roman" w:eastAsia="宋体" w:cs="Times New Roman"/>
          <w:sz w:val="40"/>
          <w:szCs w:val="36"/>
          <w:highlight w:val="none"/>
        </w:rPr>
        <w:t>正本/副本</w:t>
      </w:r>
    </w:p>
    <w:p w14:paraId="48F251EF">
      <w:pPr>
        <w:jc w:val="left"/>
        <w:rPr>
          <w:rFonts w:ascii="Times New Roman" w:hAnsi="Times New Roman" w:eastAsia="宋体" w:cs="Times New Roman"/>
          <w:sz w:val="96"/>
          <w:szCs w:val="72"/>
          <w:highlight w:val="none"/>
        </w:rPr>
      </w:pPr>
    </w:p>
    <w:p w14:paraId="3728DCB1">
      <w:pPr>
        <w:jc w:val="left"/>
        <w:rPr>
          <w:rFonts w:ascii="Times New Roman" w:hAnsi="Times New Roman" w:eastAsia="宋体" w:cs="Times New Roman"/>
          <w:sz w:val="96"/>
          <w:szCs w:val="72"/>
          <w:highlight w:val="none"/>
        </w:rPr>
      </w:pPr>
    </w:p>
    <w:p w14:paraId="3264CF39">
      <w:pPr>
        <w:jc w:val="center"/>
        <w:outlineLvl w:val="1"/>
        <w:rPr>
          <w:rFonts w:ascii="Times New Roman" w:hAnsi="Times New Roman" w:eastAsia="宋体" w:cs="Times New Roman"/>
          <w:sz w:val="96"/>
          <w:szCs w:val="72"/>
          <w:highlight w:val="none"/>
        </w:rPr>
      </w:pPr>
      <w:r>
        <w:rPr>
          <w:rFonts w:hint="eastAsia" w:ascii="Times New Roman" w:hAnsi="Times New Roman" w:eastAsia="宋体" w:cs="Times New Roman"/>
          <w:sz w:val="96"/>
          <w:szCs w:val="72"/>
          <w:highlight w:val="none"/>
        </w:rPr>
        <w:t>技术商务文件</w:t>
      </w:r>
    </w:p>
    <w:p w14:paraId="76D8B9AC">
      <w:pPr>
        <w:jc w:val="left"/>
        <w:rPr>
          <w:rFonts w:ascii="Times New Roman" w:hAnsi="Times New Roman" w:eastAsia="宋体" w:cs="Times New Roman"/>
          <w:sz w:val="96"/>
          <w:szCs w:val="72"/>
          <w:highlight w:val="none"/>
        </w:rPr>
      </w:pPr>
    </w:p>
    <w:p w14:paraId="52091C31">
      <w:pPr>
        <w:rPr>
          <w:rFonts w:ascii="Times New Roman" w:hAnsi="Times New Roman" w:eastAsia="宋体" w:cs="Times New Roman"/>
          <w:sz w:val="96"/>
          <w:szCs w:val="72"/>
          <w:highlight w:val="none"/>
        </w:rPr>
      </w:pPr>
    </w:p>
    <w:p w14:paraId="11A3188A">
      <w:pPr>
        <w:pStyle w:val="6"/>
        <w:ind w:firstLine="280"/>
        <w:rPr>
          <w:highlight w:val="none"/>
        </w:rPr>
      </w:pPr>
    </w:p>
    <w:p w14:paraId="1DA3F3C2">
      <w:pPr>
        <w:pStyle w:val="6"/>
        <w:ind w:firstLine="280"/>
        <w:rPr>
          <w:highlight w:val="none"/>
        </w:rPr>
      </w:pPr>
      <w:r>
        <w:rPr>
          <w:rFonts w:hint="eastAsia"/>
          <w:highlight w:val="none"/>
        </w:rPr>
        <w:t>项目名称：</w:t>
      </w:r>
    </w:p>
    <w:p w14:paraId="789CF0E4">
      <w:pPr>
        <w:pStyle w:val="6"/>
        <w:ind w:firstLine="280"/>
        <w:rPr>
          <w:highlight w:val="none"/>
        </w:rPr>
      </w:pPr>
      <w:r>
        <w:rPr>
          <w:rFonts w:hint="eastAsia"/>
          <w:highlight w:val="none"/>
        </w:rPr>
        <w:t>项目编号：</w:t>
      </w:r>
    </w:p>
    <w:p w14:paraId="152DDD62">
      <w:pPr>
        <w:pStyle w:val="6"/>
        <w:ind w:firstLine="280"/>
        <w:rPr>
          <w:highlight w:val="none"/>
        </w:rPr>
      </w:pPr>
      <w:r>
        <w:rPr>
          <w:rFonts w:hint="eastAsia"/>
          <w:highlight w:val="none"/>
        </w:rPr>
        <w:t>投标人名称：</w:t>
      </w:r>
    </w:p>
    <w:p w14:paraId="135E9F4E">
      <w:pPr>
        <w:pStyle w:val="6"/>
        <w:ind w:firstLine="280"/>
        <w:rPr>
          <w:highlight w:val="none"/>
        </w:rPr>
      </w:pPr>
      <w:r>
        <w:rPr>
          <w:rFonts w:hint="eastAsia"/>
          <w:highlight w:val="none"/>
        </w:rPr>
        <w:t>投标人地址：</w:t>
      </w:r>
    </w:p>
    <w:p w14:paraId="41A210DC">
      <w:pPr>
        <w:pStyle w:val="6"/>
        <w:ind w:firstLine="280"/>
        <w:rPr>
          <w:highlight w:val="none"/>
        </w:rPr>
      </w:pPr>
      <w:r>
        <w:rPr>
          <w:rFonts w:hint="eastAsia"/>
          <w:highlight w:val="none"/>
        </w:rPr>
        <w:t>在年月日时分之前不得启封</w:t>
      </w:r>
    </w:p>
    <w:p w14:paraId="542200B4">
      <w:pPr>
        <w:jc w:val="center"/>
        <w:rPr>
          <w:rFonts w:ascii="Times New Roman" w:hAnsi="Times New Roman" w:eastAsia="宋体" w:cs="Times New Roman"/>
          <w:sz w:val="28"/>
          <w:highlight w:val="none"/>
        </w:rPr>
      </w:pPr>
    </w:p>
    <w:p w14:paraId="79F2A73D">
      <w:pPr>
        <w:jc w:val="center"/>
        <w:rPr>
          <w:rFonts w:ascii="Times New Roman" w:hAnsi="Times New Roman" w:eastAsia="宋体" w:cs="Times New Roman"/>
          <w:sz w:val="28"/>
          <w:highlight w:val="none"/>
        </w:rPr>
      </w:pPr>
    </w:p>
    <w:p w14:paraId="0D8AAE5D">
      <w:pPr>
        <w:ind w:firstLine="480"/>
        <w:jc w:val="right"/>
        <w:rPr>
          <w:rFonts w:ascii="Times New Roman" w:hAnsi="Times New Roman" w:eastAsia="仿宋" w:cs="Times New Roman"/>
          <w:b/>
          <w:sz w:val="30"/>
          <w:szCs w:val="22"/>
          <w:highlight w:val="none"/>
        </w:rPr>
      </w:pPr>
      <w:r>
        <w:rPr>
          <w:rFonts w:hint="eastAsia" w:ascii="Times New Roman" w:hAnsi="Times New Roman" w:eastAsia="宋体" w:cs="Times New Roman"/>
          <w:sz w:val="28"/>
          <w:highlight w:val="none"/>
        </w:rPr>
        <w:t>年月日</w:t>
      </w:r>
    </w:p>
    <w:p w14:paraId="0D9E92FB">
      <w:pPr>
        <w:rPr>
          <w:rFonts w:ascii="Times New Roman" w:hAnsi="Times New Roman" w:eastAsia="仿宋" w:cs="Times New Roman"/>
          <w:b/>
          <w:sz w:val="30"/>
          <w:szCs w:val="22"/>
          <w:highlight w:val="none"/>
        </w:rPr>
      </w:pPr>
      <w:r>
        <w:rPr>
          <w:rFonts w:hint="eastAsia" w:ascii="Times New Roman" w:hAnsi="Times New Roman" w:eastAsia="仿宋" w:cs="Times New Roman"/>
          <w:b/>
          <w:sz w:val="30"/>
          <w:szCs w:val="22"/>
          <w:highlight w:val="none"/>
        </w:rPr>
        <w:br w:type="page"/>
      </w:r>
    </w:p>
    <w:p w14:paraId="37AFB162">
      <w:pPr>
        <w:numPr>
          <w:ilvl w:val="0"/>
          <w:numId w:val="10"/>
        </w:numPr>
        <w:jc w:val="left"/>
        <w:outlineLvl w:val="2"/>
        <w:rPr>
          <w:rFonts w:ascii="Times New Roman" w:hAnsi="Times New Roman" w:eastAsia="仿宋" w:cs="Times New Roman"/>
          <w:b/>
          <w:sz w:val="30"/>
          <w:szCs w:val="22"/>
          <w:highlight w:val="none"/>
        </w:rPr>
      </w:pPr>
      <w:r>
        <w:rPr>
          <w:rFonts w:hint="eastAsia" w:ascii="Times New Roman" w:hAnsi="Times New Roman" w:eastAsia="仿宋" w:cs="Times New Roman"/>
          <w:b/>
          <w:sz w:val="30"/>
          <w:szCs w:val="22"/>
          <w:highlight w:val="none"/>
        </w:rPr>
        <w:t>评分索引表</w:t>
      </w:r>
    </w:p>
    <w:p w14:paraId="7E7E4B22">
      <w:pPr>
        <w:spacing w:line="360" w:lineRule="auto"/>
        <w:rPr>
          <w:sz w:val="24"/>
          <w:highlight w:val="none"/>
        </w:rPr>
      </w:pPr>
    </w:p>
    <w:p w14:paraId="4A8B1B37">
      <w:pPr>
        <w:spacing w:line="360" w:lineRule="auto"/>
        <w:rPr>
          <w:sz w:val="24"/>
          <w:highlight w:val="none"/>
        </w:rPr>
      </w:pPr>
      <w:r>
        <w:rPr>
          <w:rFonts w:hint="eastAsia"/>
          <w:sz w:val="24"/>
          <w:highlight w:val="none"/>
        </w:rPr>
        <w:t>项目名称：</w:t>
      </w:r>
    </w:p>
    <w:p w14:paraId="4E5242A2">
      <w:pPr>
        <w:spacing w:line="360" w:lineRule="auto"/>
        <w:rPr>
          <w:sz w:val="24"/>
          <w:highlight w:val="none"/>
        </w:rPr>
      </w:pPr>
      <w:r>
        <w:rPr>
          <w:rFonts w:hint="eastAsia"/>
          <w:sz w:val="24"/>
          <w:highlight w:val="none"/>
        </w:rPr>
        <w:t>项目编号：</w:t>
      </w:r>
    </w:p>
    <w:tbl>
      <w:tblPr>
        <w:tblStyle w:val="14"/>
        <w:tblW w:w="90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3571"/>
        <w:gridCol w:w="2055"/>
        <w:gridCol w:w="1035"/>
        <w:gridCol w:w="1577"/>
      </w:tblGrid>
      <w:tr w14:paraId="4BF937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817" w:type="dxa"/>
            <w:tcBorders>
              <w:top w:val="single" w:color="auto" w:sz="4" w:space="0"/>
              <w:bottom w:val="single" w:color="auto" w:sz="4" w:space="0"/>
              <w:right w:val="single" w:color="auto" w:sz="4" w:space="0"/>
            </w:tcBorders>
            <w:vAlign w:val="center"/>
          </w:tcPr>
          <w:p w14:paraId="73449272">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序号</w:t>
            </w:r>
          </w:p>
        </w:tc>
        <w:tc>
          <w:tcPr>
            <w:tcW w:w="3571" w:type="dxa"/>
            <w:tcBorders>
              <w:top w:val="single" w:color="auto" w:sz="4" w:space="0"/>
              <w:bottom w:val="single" w:color="auto" w:sz="4" w:space="0"/>
              <w:right w:val="single" w:color="auto" w:sz="4" w:space="0"/>
            </w:tcBorders>
            <w:vAlign w:val="center"/>
          </w:tcPr>
          <w:p w14:paraId="58437101">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评分项目</w:t>
            </w:r>
          </w:p>
        </w:tc>
        <w:tc>
          <w:tcPr>
            <w:tcW w:w="2055" w:type="dxa"/>
            <w:tcBorders>
              <w:top w:val="single" w:color="auto" w:sz="4" w:space="0"/>
              <w:left w:val="single" w:color="auto" w:sz="4" w:space="0"/>
              <w:bottom w:val="single" w:color="auto" w:sz="4" w:space="0"/>
              <w:right w:val="single" w:color="auto" w:sz="4" w:space="0"/>
            </w:tcBorders>
            <w:vAlign w:val="center"/>
          </w:tcPr>
          <w:p w14:paraId="20756634">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响应文件对应资料</w:t>
            </w:r>
          </w:p>
        </w:tc>
        <w:tc>
          <w:tcPr>
            <w:tcW w:w="1035" w:type="dxa"/>
            <w:tcBorders>
              <w:top w:val="single" w:color="auto" w:sz="4" w:space="0"/>
              <w:left w:val="single" w:color="auto" w:sz="4" w:space="0"/>
              <w:bottom w:val="single" w:color="auto" w:sz="4" w:space="0"/>
              <w:right w:val="single" w:color="auto" w:sz="4" w:space="0"/>
            </w:tcBorders>
            <w:vAlign w:val="center"/>
          </w:tcPr>
          <w:p w14:paraId="456D6018">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自评分</w:t>
            </w:r>
          </w:p>
        </w:tc>
        <w:tc>
          <w:tcPr>
            <w:tcW w:w="1577" w:type="dxa"/>
            <w:tcBorders>
              <w:top w:val="single" w:color="auto" w:sz="4" w:space="0"/>
              <w:left w:val="single" w:color="auto" w:sz="4" w:space="0"/>
              <w:bottom w:val="single" w:color="auto" w:sz="4" w:space="0"/>
            </w:tcBorders>
            <w:vAlign w:val="center"/>
          </w:tcPr>
          <w:p w14:paraId="6739A8B9">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响应文件页码</w:t>
            </w:r>
          </w:p>
        </w:tc>
      </w:tr>
      <w:tr w14:paraId="466BBD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817" w:type="dxa"/>
            <w:tcBorders>
              <w:top w:val="single" w:color="auto" w:sz="4" w:space="0"/>
              <w:bottom w:val="single" w:color="auto" w:sz="4" w:space="0"/>
              <w:right w:val="single" w:color="auto" w:sz="4" w:space="0"/>
            </w:tcBorders>
            <w:vAlign w:val="center"/>
          </w:tcPr>
          <w:p w14:paraId="3499178D">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66E89736">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对应技术商务评分表</w:t>
            </w:r>
          </w:p>
          <w:p w14:paraId="636A8FFF">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（报价除外）</w:t>
            </w:r>
          </w:p>
        </w:tc>
        <w:tc>
          <w:tcPr>
            <w:tcW w:w="2055" w:type="dxa"/>
            <w:tcBorders>
              <w:top w:val="single" w:color="auto" w:sz="4" w:space="0"/>
              <w:left w:val="single" w:color="auto" w:sz="4" w:space="0"/>
              <w:bottom w:val="single" w:color="auto" w:sz="4" w:space="0"/>
              <w:right w:val="single" w:color="auto" w:sz="4" w:space="0"/>
            </w:tcBorders>
            <w:vAlign w:val="center"/>
          </w:tcPr>
          <w:p w14:paraId="58B5A4FA">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545FD1B8">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45B2FB34">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r w14:paraId="43CED4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50F2AE8A">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0C21DB14">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rPr>
              <w:t>……</w:t>
            </w:r>
          </w:p>
        </w:tc>
        <w:tc>
          <w:tcPr>
            <w:tcW w:w="2055" w:type="dxa"/>
            <w:tcBorders>
              <w:top w:val="single" w:color="auto" w:sz="4" w:space="0"/>
              <w:left w:val="single" w:color="auto" w:sz="4" w:space="0"/>
              <w:bottom w:val="single" w:color="auto" w:sz="4" w:space="0"/>
              <w:right w:val="single" w:color="auto" w:sz="4" w:space="0"/>
            </w:tcBorders>
            <w:vAlign w:val="center"/>
          </w:tcPr>
          <w:p w14:paraId="4AE334FC">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0EF9DEB7">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45DA4707">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r w14:paraId="1030E8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695FFF0E">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720BE32C">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51256C50">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427B9E42">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305299C1">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r w14:paraId="52B77A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43F6CA50">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6C1D0E36">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2ED4331E">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734B2811">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3073CD58">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r w14:paraId="5301AB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2870B66E">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4A296DD0">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4B19814F">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5833CFED">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572FA7AF">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r w14:paraId="777EA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817" w:type="dxa"/>
            <w:tcBorders>
              <w:top w:val="single" w:color="auto" w:sz="4" w:space="0"/>
              <w:bottom w:val="single" w:color="auto" w:sz="4" w:space="0"/>
              <w:right w:val="single" w:color="auto" w:sz="4" w:space="0"/>
            </w:tcBorders>
            <w:vAlign w:val="center"/>
          </w:tcPr>
          <w:p w14:paraId="211E1F9B">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3571" w:type="dxa"/>
            <w:tcBorders>
              <w:top w:val="single" w:color="auto" w:sz="4" w:space="0"/>
              <w:bottom w:val="single" w:color="auto" w:sz="4" w:space="0"/>
              <w:right w:val="single" w:color="auto" w:sz="4" w:space="0"/>
            </w:tcBorders>
            <w:vAlign w:val="center"/>
          </w:tcPr>
          <w:p w14:paraId="4A9CAA72">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5533AA22">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08EB57C4">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c>
          <w:tcPr>
            <w:tcW w:w="1577" w:type="dxa"/>
            <w:tcBorders>
              <w:top w:val="single" w:color="auto" w:sz="4" w:space="0"/>
              <w:left w:val="single" w:color="auto" w:sz="4" w:space="0"/>
              <w:bottom w:val="single" w:color="auto" w:sz="4" w:space="0"/>
            </w:tcBorders>
            <w:vAlign w:val="center"/>
          </w:tcPr>
          <w:p w14:paraId="5E64E440">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highlight w:val="none"/>
              </w:rPr>
            </w:pPr>
          </w:p>
        </w:tc>
      </w:tr>
    </w:tbl>
    <w:p w14:paraId="611FFE65">
      <w:pPr>
        <w:rPr>
          <w:rFonts w:ascii="Times New Roman" w:hAnsi="Times New Roman" w:eastAsia="宋体" w:cs="Times New Roman"/>
          <w:color w:val="000000"/>
          <w:highlight w:val="none"/>
        </w:rPr>
      </w:pPr>
    </w:p>
    <w:p w14:paraId="295630B8">
      <w:pPr>
        <w:rPr>
          <w:rFonts w:ascii="Times New Roman" w:hAnsi="Times New Roman" w:eastAsia="宋体" w:cs="Times New Roman"/>
          <w:color w:val="000000"/>
          <w:sz w:val="24"/>
          <w:highlight w:val="none"/>
        </w:rPr>
      </w:pPr>
    </w:p>
    <w:p w14:paraId="0A4F3CE6">
      <w:pPr>
        <w:rPr>
          <w:rFonts w:ascii="Times New Roman" w:hAnsi="Times New Roman" w:eastAsia="宋体" w:cs="Times New Roman"/>
          <w:color w:val="000000"/>
          <w:sz w:val="24"/>
          <w:highlight w:val="none"/>
        </w:rPr>
      </w:pPr>
      <w:r>
        <w:rPr>
          <w:rFonts w:hint="eastAsia" w:ascii="Times New Roman" w:hAnsi="Times New Roman" w:eastAsia="宋体" w:cs="Times New Roman"/>
          <w:color w:val="000000"/>
          <w:sz w:val="24"/>
          <w:highlight w:val="none"/>
        </w:rPr>
        <w:t>法定代表人或授权委托人签字：</w:t>
      </w:r>
    </w:p>
    <w:p w14:paraId="64D586AB">
      <w:pPr>
        <w:rPr>
          <w:rFonts w:ascii="Times New Roman" w:hAnsi="Times New Roman" w:eastAsia="宋体" w:cs="Times New Roman"/>
          <w:color w:val="000000"/>
          <w:sz w:val="24"/>
          <w:highlight w:val="none"/>
        </w:rPr>
      </w:pPr>
    </w:p>
    <w:p w14:paraId="6751830D">
      <w:pPr>
        <w:rPr>
          <w:rFonts w:ascii="Times New Roman" w:hAnsi="Times New Roman" w:eastAsia="宋体" w:cs="Times New Roman"/>
          <w:color w:val="000000"/>
          <w:sz w:val="24"/>
          <w:highlight w:val="none"/>
        </w:rPr>
      </w:pPr>
    </w:p>
    <w:p w14:paraId="4502C938">
      <w:pPr>
        <w:rPr>
          <w:rFonts w:ascii="Times New Roman" w:hAnsi="Times New Roman" w:eastAsia="宋体" w:cs="Times New Roman"/>
          <w:color w:val="000000"/>
          <w:sz w:val="24"/>
          <w:highlight w:val="none"/>
        </w:rPr>
      </w:pPr>
    </w:p>
    <w:p w14:paraId="688EE02F">
      <w:pPr>
        <w:rPr>
          <w:rFonts w:ascii="Times New Roman" w:hAnsi="Times New Roman" w:eastAsia="宋体" w:cs="Times New Roman"/>
          <w:color w:val="000000"/>
          <w:sz w:val="24"/>
          <w:highlight w:val="none"/>
        </w:rPr>
      </w:pPr>
      <w:r>
        <w:rPr>
          <w:rFonts w:hint="eastAsia" w:ascii="Times New Roman" w:hAnsi="Times New Roman" w:eastAsia="宋体" w:cs="Times New Roman"/>
          <w:color w:val="000000"/>
          <w:sz w:val="24"/>
          <w:highlight w:val="none"/>
        </w:rPr>
        <w:t>供应商全称公章：</w:t>
      </w:r>
    </w:p>
    <w:p w14:paraId="6E572EB1">
      <w:pPr>
        <w:spacing w:line="360" w:lineRule="auto"/>
        <w:rPr>
          <w:rFonts w:ascii="Times New Roman" w:hAnsi="Times New Roman" w:eastAsia="宋体" w:cs="Times New Roman"/>
          <w:sz w:val="24"/>
          <w:highlight w:val="none"/>
        </w:rPr>
      </w:pPr>
    </w:p>
    <w:p w14:paraId="702406CD">
      <w:pPr>
        <w:jc w:val="right"/>
        <w:rPr>
          <w:rFonts w:ascii="Times New Roman" w:hAnsi="Times New Roman" w:eastAsia="宋体" w:cs="Times New Roman"/>
          <w:sz w:val="24"/>
          <w:highlight w:val="none"/>
          <w:lang w:eastAsia="zh-Hans"/>
        </w:rPr>
      </w:pPr>
      <w:r>
        <w:rPr>
          <w:rFonts w:hint="eastAsia" w:ascii="Times New Roman" w:hAnsi="Times New Roman" w:eastAsia="宋体" w:cs="Times New Roman"/>
          <w:sz w:val="24"/>
          <w:highlight w:val="none"/>
          <w:lang w:eastAsia="zh-Hans"/>
        </w:rPr>
        <w:t>日期：年月日</w:t>
      </w:r>
    </w:p>
    <w:p w14:paraId="60859653">
      <w:pPr>
        <w:numPr>
          <w:ilvl w:val="0"/>
          <w:numId w:val="10"/>
        </w:numPr>
        <w:jc w:val="left"/>
        <w:outlineLvl w:val="2"/>
        <w:rPr>
          <w:rFonts w:ascii="Times New Roman" w:hAnsi="Times New Roman" w:eastAsia="仿宋" w:cs="Times New Roman"/>
          <w:b/>
          <w:sz w:val="30"/>
          <w:szCs w:val="22"/>
          <w:highlight w:val="none"/>
        </w:rPr>
      </w:pPr>
      <w:r>
        <w:rPr>
          <w:rFonts w:hint="eastAsia" w:ascii="Times New Roman" w:hAnsi="Times New Roman" w:eastAsia="宋体" w:cs="Times New Roman"/>
          <w:szCs w:val="22"/>
          <w:highlight w:val="none"/>
          <w:lang w:eastAsia="zh-Hans"/>
        </w:rPr>
        <w:br w:type="page"/>
      </w:r>
      <w:r>
        <w:rPr>
          <w:rFonts w:hint="eastAsia" w:ascii="Times New Roman" w:hAnsi="Times New Roman" w:eastAsia="仿宋" w:cs="Times New Roman"/>
          <w:b/>
          <w:sz w:val="30"/>
          <w:szCs w:val="22"/>
          <w:highlight w:val="none"/>
        </w:rPr>
        <w:t>技术需求响应表</w:t>
      </w:r>
    </w:p>
    <w:p w14:paraId="7C3A0241">
      <w:pPr>
        <w:spacing w:line="360" w:lineRule="auto"/>
        <w:rPr>
          <w:sz w:val="24"/>
          <w:highlight w:val="none"/>
        </w:rPr>
      </w:pPr>
    </w:p>
    <w:p w14:paraId="4B5EA715">
      <w:pPr>
        <w:spacing w:line="360" w:lineRule="auto"/>
        <w:rPr>
          <w:sz w:val="24"/>
          <w:highlight w:val="none"/>
        </w:rPr>
      </w:pPr>
      <w:r>
        <w:rPr>
          <w:rFonts w:hint="eastAsia"/>
          <w:sz w:val="24"/>
          <w:highlight w:val="none"/>
        </w:rPr>
        <w:t>项目名称：</w:t>
      </w:r>
    </w:p>
    <w:p w14:paraId="0977F089">
      <w:pPr>
        <w:spacing w:line="360" w:lineRule="auto"/>
        <w:rPr>
          <w:highlight w:val="none"/>
        </w:rPr>
      </w:pPr>
      <w:r>
        <w:rPr>
          <w:rFonts w:hint="eastAsia"/>
          <w:sz w:val="24"/>
          <w:highlight w:val="none"/>
        </w:rPr>
        <w:t>项目编号：</w:t>
      </w:r>
    </w:p>
    <w:tbl>
      <w:tblPr>
        <w:tblStyle w:val="14"/>
        <w:tblW w:w="9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3158"/>
        <w:gridCol w:w="2265"/>
        <w:gridCol w:w="2285"/>
      </w:tblGrid>
      <w:tr w14:paraId="40ED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347" w:type="dxa"/>
            <w:tcBorders>
              <w:bottom w:val="single" w:color="auto" w:sz="4" w:space="0"/>
            </w:tcBorders>
            <w:vAlign w:val="center"/>
          </w:tcPr>
          <w:p w14:paraId="212648A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r>
              <w:rPr>
                <w:rFonts w:hint="eastAsia" w:ascii="Times New Roman" w:hAnsi="Times New Roman" w:eastAsia="Times New Roman" w:cs="Times New Roman"/>
                <w:kern w:val="0"/>
                <w:sz w:val="24"/>
                <w:highlight w:val="none"/>
              </w:rPr>
              <w:t>序号</w:t>
            </w:r>
          </w:p>
        </w:tc>
        <w:tc>
          <w:tcPr>
            <w:tcW w:w="3158" w:type="dxa"/>
            <w:tcBorders>
              <w:bottom w:val="single" w:color="auto" w:sz="4" w:space="0"/>
            </w:tcBorders>
            <w:vAlign w:val="center"/>
          </w:tcPr>
          <w:p w14:paraId="51E459D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r>
              <w:rPr>
                <w:rFonts w:hint="eastAsia" w:ascii="Times New Roman" w:hAnsi="Times New Roman" w:eastAsia="Times New Roman" w:cs="Times New Roman"/>
                <w:kern w:val="0"/>
                <w:sz w:val="24"/>
                <w:highlight w:val="none"/>
              </w:rPr>
              <w:t>招标文件要求</w:t>
            </w:r>
          </w:p>
        </w:tc>
        <w:tc>
          <w:tcPr>
            <w:tcW w:w="2265" w:type="dxa"/>
            <w:tcBorders>
              <w:bottom w:val="single" w:color="auto" w:sz="4" w:space="0"/>
            </w:tcBorders>
            <w:vAlign w:val="center"/>
          </w:tcPr>
          <w:p w14:paraId="29A743AF">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lang w:val="en-US" w:eastAsia="zh-CN"/>
              </w:rPr>
            </w:pPr>
            <w:r>
              <w:rPr>
                <w:rFonts w:hint="eastAsia" w:ascii="Times New Roman" w:hAnsi="Times New Roman" w:eastAsia="宋体" w:cs="Times New Roman"/>
                <w:kern w:val="0"/>
                <w:sz w:val="24"/>
                <w:highlight w:val="none"/>
                <w:lang w:val="en-US" w:eastAsia="zh-CN"/>
              </w:rPr>
              <w:t>响应情况</w:t>
            </w:r>
          </w:p>
        </w:tc>
        <w:tc>
          <w:tcPr>
            <w:tcW w:w="2285" w:type="dxa"/>
            <w:tcBorders>
              <w:bottom w:val="single" w:color="auto" w:sz="4" w:space="0"/>
            </w:tcBorders>
            <w:vAlign w:val="center"/>
          </w:tcPr>
          <w:p w14:paraId="4C19E810">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lang w:eastAsia="zh-CN"/>
              </w:rPr>
            </w:pPr>
            <w:r>
              <w:rPr>
                <w:rFonts w:hint="eastAsia" w:ascii="Times New Roman" w:hAnsi="Times New Roman" w:eastAsia="宋体" w:cs="Times New Roman"/>
                <w:kern w:val="0"/>
                <w:sz w:val="24"/>
                <w:highlight w:val="none"/>
                <w:lang w:val="en-US" w:eastAsia="zh-CN"/>
              </w:rPr>
              <w:t>备注</w:t>
            </w:r>
          </w:p>
        </w:tc>
      </w:tr>
      <w:tr w14:paraId="4F96E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top w:val="single" w:color="auto" w:sz="4" w:space="0"/>
              <w:left w:val="single" w:color="auto" w:sz="4" w:space="0"/>
            </w:tcBorders>
            <w:vAlign w:val="center"/>
          </w:tcPr>
          <w:p w14:paraId="1E35CA31">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r>
              <w:rPr>
                <w:rFonts w:hint="default" w:ascii="Times New Roman" w:hAnsi="Times New Roman" w:eastAsia="Times New Roman" w:cs="Times New Roman"/>
                <w:kern w:val="0"/>
                <w:sz w:val="24"/>
                <w:highlight w:val="none"/>
              </w:rPr>
              <w:t>1</w:t>
            </w:r>
          </w:p>
        </w:tc>
        <w:tc>
          <w:tcPr>
            <w:tcW w:w="3158" w:type="dxa"/>
            <w:tcBorders>
              <w:top w:val="single" w:color="auto" w:sz="4" w:space="0"/>
            </w:tcBorders>
            <w:vAlign w:val="center"/>
          </w:tcPr>
          <w:p w14:paraId="601B9B0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65" w:type="dxa"/>
            <w:tcBorders>
              <w:top w:val="single" w:color="auto" w:sz="4" w:space="0"/>
            </w:tcBorders>
            <w:vAlign w:val="center"/>
          </w:tcPr>
          <w:p w14:paraId="2CD2865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85" w:type="dxa"/>
            <w:tcBorders>
              <w:top w:val="single" w:color="auto" w:sz="4" w:space="0"/>
              <w:right w:val="single" w:color="auto" w:sz="4" w:space="0"/>
            </w:tcBorders>
            <w:vAlign w:val="center"/>
          </w:tcPr>
          <w:p w14:paraId="1388D1E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r>
      <w:tr w14:paraId="6B7A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left w:val="single" w:color="auto" w:sz="4" w:space="0"/>
            </w:tcBorders>
            <w:vAlign w:val="center"/>
          </w:tcPr>
          <w:p w14:paraId="7FECA8B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r>
              <w:rPr>
                <w:rFonts w:hint="eastAsia" w:ascii="Times New Roman" w:hAnsi="Times New Roman" w:eastAsia="Times New Roman" w:cs="Times New Roman"/>
                <w:kern w:val="0"/>
                <w:sz w:val="24"/>
                <w:highlight w:val="none"/>
              </w:rPr>
              <w:t>2</w:t>
            </w:r>
          </w:p>
        </w:tc>
        <w:tc>
          <w:tcPr>
            <w:tcW w:w="3158" w:type="dxa"/>
            <w:vAlign w:val="center"/>
          </w:tcPr>
          <w:p w14:paraId="1168720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65" w:type="dxa"/>
            <w:vAlign w:val="center"/>
          </w:tcPr>
          <w:p w14:paraId="6D7CB8AB">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85" w:type="dxa"/>
            <w:tcBorders>
              <w:right w:val="single" w:color="auto" w:sz="4" w:space="0"/>
            </w:tcBorders>
            <w:vAlign w:val="center"/>
          </w:tcPr>
          <w:p w14:paraId="5377ED6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r>
      <w:tr w14:paraId="52F7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left w:val="single" w:color="auto" w:sz="4" w:space="0"/>
            </w:tcBorders>
            <w:vAlign w:val="center"/>
          </w:tcPr>
          <w:p w14:paraId="1D65E8B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r>
              <w:rPr>
                <w:rFonts w:hint="eastAsia" w:ascii="Times New Roman" w:hAnsi="Times New Roman" w:eastAsia="Times New Roman" w:cs="Times New Roman"/>
                <w:kern w:val="0"/>
                <w:sz w:val="24"/>
                <w:highlight w:val="none"/>
              </w:rPr>
              <w:t>...</w:t>
            </w:r>
          </w:p>
        </w:tc>
        <w:tc>
          <w:tcPr>
            <w:tcW w:w="3158" w:type="dxa"/>
            <w:vAlign w:val="center"/>
          </w:tcPr>
          <w:p w14:paraId="0B1C243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65" w:type="dxa"/>
            <w:vAlign w:val="center"/>
          </w:tcPr>
          <w:p w14:paraId="528F272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85" w:type="dxa"/>
            <w:tcBorders>
              <w:right w:val="single" w:color="auto" w:sz="4" w:space="0"/>
            </w:tcBorders>
            <w:vAlign w:val="center"/>
          </w:tcPr>
          <w:p w14:paraId="1F59BBA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r>
      <w:tr w14:paraId="3C29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left w:val="single" w:color="auto" w:sz="4" w:space="0"/>
              <w:bottom w:val="single" w:color="auto" w:sz="4" w:space="0"/>
            </w:tcBorders>
            <w:vAlign w:val="center"/>
          </w:tcPr>
          <w:p w14:paraId="11E33F7E">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r>
              <w:rPr>
                <w:rFonts w:hint="eastAsia" w:ascii="Times New Roman" w:hAnsi="Times New Roman" w:eastAsia="宋体" w:cs="Times New Roman"/>
                <w:kern w:val="0"/>
                <w:sz w:val="24"/>
                <w:highlight w:val="none"/>
              </w:rPr>
              <w:t>...</w:t>
            </w:r>
          </w:p>
        </w:tc>
        <w:tc>
          <w:tcPr>
            <w:tcW w:w="3158" w:type="dxa"/>
            <w:tcBorders>
              <w:bottom w:val="single" w:color="auto" w:sz="4" w:space="0"/>
            </w:tcBorders>
            <w:vAlign w:val="center"/>
          </w:tcPr>
          <w:p w14:paraId="717D65D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65" w:type="dxa"/>
            <w:tcBorders>
              <w:bottom w:val="single" w:color="auto" w:sz="4" w:space="0"/>
            </w:tcBorders>
            <w:vAlign w:val="center"/>
          </w:tcPr>
          <w:p w14:paraId="277A47C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c>
          <w:tcPr>
            <w:tcW w:w="2285" w:type="dxa"/>
            <w:tcBorders>
              <w:bottom w:val="single" w:color="auto" w:sz="4" w:space="0"/>
              <w:right w:val="single" w:color="auto" w:sz="4" w:space="0"/>
            </w:tcBorders>
            <w:vAlign w:val="center"/>
          </w:tcPr>
          <w:p w14:paraId="2D82E60F">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highlight w:val="none"/>
              </w:rPr>
            </w:pPr>
          </w:p>
        </w:tc>
      </w:tr>
    </w:tbl>
    <w:p w14:paraId="4DBB8F58">
      <w:pPr>
        <w:pStyle w:val="20"/>
        <w:ind w:firstLine="480"/>
        <w:rPr>
          <w:rFonts w:hint="default"/>
          <w:highlight w:val="none"/>
        </w:rPr>
      </w:pPr>
    </w:p>
    <w:p w14:paraId="2D3E8203">
      <w:pPr>
        <w:pStyle w:val="20"/>
        <w:ind w:firstLine="480"/>
        <w:rPr>
          <w:rFonts w:hint="default"/>
          <w:highlight w:val="none"/>
        </w:rPr>
      </w:pPr>
      <w:r>
        <w:rPr>
          <w:highlight w:val="none"/>
        </w:rPr>
        <w:t>注：1.本表格若不填写，视同为完全响应招标文件要求，如投标文件其他承诺或方案内容与本响应表不一致，以本表内容为准。</w:t>
      </w:r>
    </w:p>
    <w:p w14:paraId="2EFA1EBA">
      <w:pPr>
        <w:pStyle w:val="20"/>
        <w:ind w:firstLine="420" w:firstLineChars="0"/>
        <w:rPr>
          <w:rFonts w:hint="default"/>
          <w:highlight w:val="none"/>
        </w:rPr>
      </w:pPr>
    </w:p>
    <w:p w14:paraId="6DBA7ED2">
      <w:pPr>
        <w:pStyle w:val="20"/>
        <w:ind w:firstLine="420" w:firstLineChars="0"/>
        <w:rPr>
          <w:rFonts w:hint="default"/>
          <w:highlight w:val="none"/>
        </w:rPr>
      </w:pPr>
      <w:r>
        <w:rPr>
          <w:highlight w:val="none"/>
        </w:rPr>
        <w:t>法定代表人或授权委托人签字：</w:t>
      </w:r>
    </w:p>
    <w:p w14:paraId="0B2A2381">
      <w:pPr>
        <w:pStyle w:val="20"/>
        <w:ind w:firstLine="420" w:firstLineChars="0"/>
        <w:rPr>
          <w:rFonts w:hint="default"/>
          <w:highlight w:val="none"/>
        </w:rPr>
      </w:pPr>
    </w:p>
    <w:p w14:paraId="34E38040">
      <w:pPr>
        <w:pStyle w:val="20"/>
        <w:ind w:firstLine="420" w:firstLineChars="0"/>
        <w:rPr>
          <w:rFonts w:hint="default"/>
          <w:highlight w:val="none"/>
        </w:rPr>
      </w:pPr>
      <w:r>
        <w:rPr>
          <w:highlight w:val="none"/>
        </w:rPr>
        <w:t>供应商全称公章：</w:t>
      </w:r>
    </w:p>
    <w:p w14:paraId="7CA06BFF">
      <w:pPr>
        <w:pStyle w:val="20"/>
        <w:ind w:firstLine="420" w:firstLineChars="0"/>
        <w:jc w:val="right"/>
        <w:rPr>
          <w:rFonts w:hint="default" w:eastAsia="仿宋"/>
          <w:b/>
          <w:sz w:val="30"/>
          <w:szCs w:val="22"/>
          <w:highlight w:val="none"/>
        </w:rPr>
      </w:pPr>
      <w:r>
        <w:rPr>
          <w:highlight w:val="none"/>
          <w:lang w:eastAsia="zh-Hans"/>
        </w:rPr>
        <w:t>日期：年月日</w:t>
      </w:r>
      <w:r>
        <w:rPr>
          <w:rFonts w:eastAsia="仿宋"/>
          <w:b/>
          <w:sz w:val="30"/>
          <w:szCs w:val="22"/>
          <w:highlight w:val="none"/>
        </w:rPr>
        <w:br w:type="page"/>
      </w:r>
    </w:p>
    <w:p w14:paraId="63ADD5E5">
      <w:pPr>
        <w:numPr>
          <w:ilvl w:val="0"/>
          <w:numId w:val="10"/>
        </w:numPr>
        <w:outlineLvl w:val="2"/>
        <w:rPr>
          <w:rFonts w:ascii="Times New Roman" w:hAnsi="Times New Roman" w:eastAsia="仿宋" w:cs="Times New Roman"/>
          <w:b/>
          <w:sz w:val="30"/>
          <w:szCs w:val="22"/>
          <w:highlight w:val="none"/>
        </w:rPr>
      </w:pPr>
      <w:r>
        <w:rPr>
          <w:rFonts w:hint="eastAsia" w:ascii="Times New Roman" w:hAnsi="Times New Roman" w:eastAsia="仿宋" w:cs="Times New Roman"/>
          <w:b/>
          <w:sz w:val="30"/>
          <w:szCs w:val="22"/>
          <w:highlight w:val="none"/>
        </w:rPr>
        <w:t>商务需求响应表</w:t>
      </w:r>
    </w:p>
    <w:p w14:paraId="5E375CA2">
      <w:pPr>
        <w:pStyle w:val="6"/>
        <w:ind w:firstLine="0" w:firstLineChars="0"/>
        <w:rPr>
          <w:sz w:val="24"/>
          <w:szCs w:val="22"/>
          <w:highlight w:val="none"/>
        </w:rPr>
      </w:pPr>
    </w:p>
    <w:p w14:paraId="26BFFF97">
      <w:pPr>
        <w:spacing w:line="360" w:lineRule="auto"/>
        <w:rPr>
          <w:sz w:val="24"/>
          <w:highlight w:val="none"/>
        </w:rPr>
      </w:pPr>
      <w:r>
        <w:rPr>
          <w:rFonts w:hint="eastAsia"/>
          <w:sz w:val="24"/>
          <w:highlight w:val="none"/>
        </w:rPr>
        <w:t>项目名称：</w:t>
      </w:r>
    </w:p>
    <w:p w14:paraId="2AA982D2">
      <w:pPr>
        <w:spacing w:line="360" w:lineRule="auto"/>
        <w:rPr>
          <w:sz w:val="24"/>
          <w:szCs w:val="22"/>
          <w:highlight w:val="none"/>
        </w:rPr>
      </w:pPr>
      <w:r>
        <w:rPr>
          <w:rFonts w:hint="eastAsia"/>
          <w:sz w:val="24"/>
          <w:highlight w:val="none"/>
        </w:rPr>
        <w:t>项目编号：</w:t>
      </w:r>
    </w:p>
    <w:tbl>
      <w:tblPr>
        <w:tblStyle w:val="14"/>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2348"/>
        <w:gridCol w:w="2070"/>
        <w:gridCol w:w="2817"/>
      </w:tblGrid>
      <w:tr w14:paraId="00D9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614121B6">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highlight w:val="none"/>
              </w:rPr>
            </w:pPr>
            <w:r>
              <w:rPr>
                <w:rFonts w:hint="eastAsia" w:ascii="Times New Roman" w:hAnsi="Times New Roman" w:eastAsia="Times New Roman" w:cs="Times New Roman"/>
                <w:kern w:val="0"/>
                <w:sz w:val="22"/>
                <w:szCs w:val="22"/>
                <w:highlight w:val="none"/>
              </w:rPr>
              <w:t>项目</w:t>
            </w:r>
          </w:p>
        </w:tc>
        <w:tc>
          <w:tcPr>
            <w:tcW w:w="2348" w:type="dxa"/>
            <w:vAlign w:val="center"/>
          </w:tcPr>
          <w:p w14:paraId="31EE9C1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highlight w:val="none"/>
              </w:rPr>
            </w:pPr>
            <w:r>
              <w:rPr>
                <w:rFonts w:hint="eastAsia" w:ascii="Times New Roman" w:hAnsi="Times New Roman" w:eastAsia="Times New Roman" w:cs="Times New Roman"/>
                <w:kern w:val="0"/>
                <w:sz w:val="22"/>
                <w:szCs w:val="22"/>
                <w:highlight w:val="none"/>
              </w:rPr>
              <w:t>招标文件要求</w:t>
            </w:r>
          </w:p>
        </w:tc>
        <w:tc>
          <w:tcPr>
            <w:tcW w:w="2070" w:type="dxa"/>
            <w:vAlign w:val="center"/>
          </w:tcPr>
          <w:p w14:paraId="3326691B">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highlight w:val="none"/>
              </w:rPr>
            </w:pPr>
            <w:r>
              <w:rPr>
                <w:rFonts w:hint="eastAsia" w:ascii="Times New Roman" w:hAnsi="Times New Roman" w:eastAsia="Times New Roman" w:cs="Times New Roman"/>
                <w:kern w:val="0"/>
                <w:sz w:val="22"/>
                <w:szCs w:val="22"/>
                <w:highlight w:val="none"/>
              </w:rPr>
              <w:t>是否响应</w:t>
            </w:r>
          </w:p>
        </w:tc>
        <w:tc>
          <w:tcPr>
            <w:tcW w:w="2817" w:type="dxa"/>
            <w:vAlign w:val="center"/>
          </w:tcPr>
          <w:p w14:paraId="2BAE99E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highlight w:val="none"/>
              </w:rPr>
            </w:pPr>
            <w:r>
              <w:rPr>
                <w:rFonts w:hint="eastAsia" w:ascii="Times New Roman" w:hAnsi="Times New Roman" w:eastAsia="Times New Roman" w:cs="Times New Roman"/>
                <w:kern w:val="0"/>
                <w:sz w:val="22"/>
                <w:szCs w:val="22"/>
                <w:highlight w:val="none"/>
              </w:rPr>
              <w:t>供应商的承诺和说明</w:t>
            </w:r>
          </w:p>
        </w:tc>
      </w:tr>
      <w:tr w14:paraId="3141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75242CA6">
            <w:pPr>
              <w:keepNext w:val="0"/>
              <w:keepLines w:val="0"/>
              <w:suppressLineNumbers w:val="0"/>
              <w:spacing w:before="0" w:beforeAutospacing="0" w:after="0" w:afterAutospacing="0" w:line="360" w:lineRule="auto"/>
              <w:ind w:left="0" w:right="0"/>
              <w:jc w:val="center"/>
              <w:rPr>
                <w:rFonts w:hint="default" w:ascii="宋体" w:hAnsi="宋体" w:eastAsia="宋体" w:cs="宋体"/>
                <w:kern w:val="0"/>
                <w:sz w:val="18"/>
                <w:szCs w:val="18"/>
                <w:highlight w:val="none"/>
              </w:rPr>
            </w:pPr>
          </w:p>
        </w:tc>
        <w:tc>
          <w:tcPr>
            <w:tcW w:w="2348" w:type="dxa"/>
            <w:vAlign w:val="center"/>
          </w:tcPr>
          <w:p w14:paraId="79227020">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3617D14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16FBEDC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r w14:paraId="1BF1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11F321F4">
            <w:pPr>
              <w:keepNext w:val="0"/>
              <w:keepLines w:val="0"/>
              <w:suppressLineNumbers w:val="0"/>
              <w:spacing w:before="0" w:beforeAutospacing="0" w:after="0" w:afterAutospacing="0" w:line="360" w:lineRule="auto"/>
              <w:ind w:left="0" w:right="0"/>
              <w:jc w:val="center"/>
              <w:rPr>
                <w:rFonts w:hint="default" w:ascii="宋体" w:hAnsi="宋体" w:eastAsia="宋体" w:cs="宋体"/>
                <w:kern w:val="0"/>
                <w:sz w:val="18"/>
                <w:szCs w:val="18"/>
                <w:highlight w:val="none"/>
              </w:rPr>
            </w:pPr>
          </w:p>
        </w:tc>
        <w:tc>
          <w:tcPr>
            <w:tcW w:w="2348" w:type="dxa"/>
            <w:vAlign w:val="center"/>
          </w:tcPr>
          <w:p w14:paraId="0EEA3EA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0A71256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1B57355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r w14:paraId="273E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302CED40">
            <w:pPr>
              <w:keepNext w:val="0"/>
              <w:keepLines w:val="0"/>
              <w:suppressLineNumbers w:val="0"/>
              <w:spacing w:before="0" w:beforeAutospacing="0" w:after="0" w:afterAutospacing="0" w:line="360" w:lineRule="auto"/>
              <w:ind w:left="0" w:right="0"/>
              <w:jc w:val="center"/>
              <w:rPr>
                <w:rFonts w:hint="default" w:ascii="宋体" w:hAnsi="宋体" w:eastAsia="宋体" w:cs="宋体"/>
                <w:kern w:val="0"/>
                <w:sz w:val="18"/>
                <w:szCs w:val="18"/>
                <w:highlight w:val="none"/>
              </w:rPr>
            </w:pPr>
          </w:p>
        </w:tc>
        <w:tc>
          <w:tcPr>
            <w:tcW w:w="2348" w:type="dxa"/>
            <w:vAlign w:val="center"/>
          </w:tcPr>
          <w:p w14:paraId="4A7716F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0DEFDE3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03255D7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r w14:paraId="56CE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639071EA">
            <w:pPr>
              <w:keepNext w:val="0"/>
              <w:keepLines w:val="0"/>
              <w:suppressLineNumbers w:val="0"/>
              <w:spacing w:before="0" w:beforeAutospacing="0" w:after="0" w:afterAutospacing="0" w:line="360" w:lineRule="auto"/>
              <w:ind w:left="0" w:right="0"/>
              <w:jc w:val="center"/>
              <w:rPr>
                <w:rFonts w:hint="default" w:ascii="宋体" w:hAnsi="宋体" w:eastAsia="宋体" w:cs="宋体"/>
                <w:kern w:val="0"/>
                <w:sz w:val="18"/>
                <w:szCs w:val="18"/>
                <w:highlight w:val="none"/>
              </w:rPr>
            </w:pPr>
          </w:p>
        </w:tc>
        <w:tc>
          <w:tcPr>
            <w:tcW w:w="2348" w:type="dxa"/>
            <w:vAlign w:val="center"/>
          </w:tcPr>
          <w:p w14:paraId="1B987236">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1EE40A3B">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65808F9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r w14:paraId="5F45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B476F09">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Cs w:val="21"/>
                <w:highlight w:val="none"/>
              </w:rPr>
            </w:pPr>
          </w:p>
        </w:tc>
        <w:tc>
          <w:tcPr>
            <w:tcW w:w="2348" w:type="dxa"/>
            <w:vAlign w:val="center"/>
          </w:tcPr>
          <w:p w14:paraId="448D06E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577012A0">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62C6C27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r w14:paraId="7EED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B36EF52">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Cs w:val="21"/>
                <w:highlight w:val="none"/>
              </w:rPr>
            </w:pPr>
          </w:p>
        </w:tc>
        <w:tc>
          <w:tcPr>
            <w:tcW w:w="2348" w:type="dxa"/>
            <w:vAlign w:val="center"/>
          </w:tcPr>
          <w:p w14:paraId="6AE010C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070" w:type="dxa"/>
            <w:vAlign w:val="center"/>
          </w:tcPr>
          <w:p w14:paraId="70401BB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c>
          <w:tcPr>
            <w:tcW w:w="2817" w:type="dxa"/>
            <w:vAlign w:val="center"/>
          </w:tcPr>
          <w:p w14:paraId="6123584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highlight w:val="none"/>
              </w:rPr>
            </w:pPr>
          </w:p>
        </w:tc>
      </w:tr>
    </w:tbl>
    <w:p w14:paraId="4B347CE2">
      <w:pPr>
        <w:jc w:val="center"/>
        <w:rPr>
          <w:rFonts w:ascii="Times New Roman" w:hAnsi="Times New Roman" w:eastAsia="宋体" w:cs="Times New Roman"/>
          <w:szCs w:val="22"/>
          <w:highlight w:val="none"/>
        </w:rPr>
      </w:pPr>
    </w:p>
    <w:p w14:paraId="57723893">
      <w:pPr>
        <w:pStyle w:val="20"/>
        <w:ind w:firstLine="420" w:firstLineChars="0"/>
        <w:rPr>
          <w:rFonts w:hint="default"/>
          <w:highlight w:val="none"/>
        </w:rPr>
      </w:pPr>
      <w:r>
        <w:rPr>
          <w:highlight w:val="none"/>
        </w:rPr>
        <w:t>本表格若不填写，视同为完全响应招标文件要求，如投标文件其他承诺或方案内容与本响应表不一致，以本表内容为准。</w:t>
      </w:r>
    </w:p>
    <w:p w14:paraId="2D03F164">
      <w:pPr>
        <w:pStyle w:val="20"/>
        <w:ind w:firstLine="480"/>
        <w:rPr>
          <w:rFonts w:hint="default"/>
          <w:highlight w:val="none"/>
        </w:rPr>
      </w:pPr>
    </w:p>
    <w:p w14:paraId="31BB4C02">
      <w:pPr>
        <w:pStyle w:val="20"/>
        <w:ind w:firstLine="0" w:firstLineChars="0"/>
        <w:rPr>
          <w:rFonts w:hint="default"/>
          <w:highlight w:val="none"/>
        </w:rPr>
      </w:pPr>
      <w:r>
        <w:rPr>
          <w:highlight w:val="none"/>
        </w:rPr>
        <w:t>法定代表人或授权委托人签字：</w:t>
      </w:r>
    </w:p>
    <w:p w14:paraId="6F776BE5">
      <w:pPr>
        <w:pStyle w:val="20"/>
        <w:ind w:firstLine="480"/>
        <w:rPr>
          <w:rFonts w:hint="default"/>
          <w:highlight w:val="none"/>
        </w:rPr>
      </w:pPr>
    </w:p>
    <w:p w14:paraId="3F5345F8">
      <w:pPr>
        <w:pStyle w:val="20"/>
        <w:ind w:firstLine="0" w:firstLineChars="0"/>
        <w:rPr>
          <w:rFonts w:hint="default"/>
          <w:highlight w:val="none"/>
        </w:rPr>
      </w:pPr>
      <w:r>
        <w:rPr>
          <w:highlight w:val="none"/>
        </w:rPr>
        <w:t>供应商全称公章：</w:t>
      </w:r>
    </w:p>
    <w:p w14:paraId="2C42C98B">
      <w:pPr>
        <w:pStyle w:val="20"/>
        <w:ind w:firstLine="480"/>
        <w:rPr>
          <w:rFonts w:hint="default"/>
          <w:highlight w:val="none"/>
        </w:rPr>
      </w:pPr>
    </w:p>
    <w:p w14:paraId="5D05AE9F">
      <w:pPr>
        <w:pStyle w:val="20"/>
        <w:ind w:firstLine="0" w:firstLineChars="0"/>
        <w:rPr>
          <w:rFonts w:hint="default"/>
          <w:highlight w:val="none"/>
        </w:rPr>
      </w:pPr>
      <w:r>
        <w:rPr>
          <w:highlight w:val="none"/>
          <w:lang w:eastAsia="zh-Hans"/>
        </w:rPr>
        <w:t>日期：年月日</w:t>
      </w:r>
    </w:p>
    <w:p w14:paraId="682AF4FD">
      <w:pPr>
        <w:rPr>
          <w:rFonts w:ascii="Times New Roman" w:hAnsi="Times New Roman" w:eastAsia="仿宋" w:cs="Times New Roman"/>
          <w:b/>
          <w:sz w:val="30"/>
          <w:szCs w:val="22"/>
          <w:highlight w:val="none"/>
        </w:rPr>
      </w:pPr>
      <w:r>
        <w:rPr>
          <w:rFonts w:hint="eastAsia" w:ascii="Times New Roman" w:hAnsi="Times New Roman" w:eastAsia="仿宋" w:cs="Times New Roman"/>
          <w:b/>
          <w:sz w:val="30"/>
          <w:szCs w:val="22"/>
          <w:highlight w:val="none"/>
        </w:rPr>
        <w:br w:type="page"/>
      </w:r>
    </w:p>
    <w:p w14:paraId="323F0822">
      <w:pPr>
        <w:numPr>
          <w:ilvl w:val="0"/>
          <w:numId w:val="10"/>
        </w:numPr>
        <w:outlineLvl w:val="2"/>
        <w:rPr>
          <w:rFonts w:ascii="Times New Roman" w:hAnsi="Times New Roman" w:eastAsia="仿宋" w:cs="Times New Roman"/>
          <w:b/>
          <w:sz w:val="30"/>
          <w:szCs w:val="22"/>
          <w:highlight w:val="none"/>
        </w:rPr>
      </w:pPr>
      <w:r>
        <w:rPr>
          <w:rFonts w:hint="eastAsia" w:ascii="Times New Roman" w:hAnsi="Times New Roman" w:eastAsia="仿宋" w:cs="Times New Roman"/>
          <w:b/>
          <w:sz w:val="30"/>
          <w:szCs w:val="22"/>
          <w:highlight w:val="none"/>
        </w:rPr>
        <w:t>企业业绩</w:t>
      </w:r>
    </w:p>
    <w:p w14:paraId="27B4EFE2">
      <w:pPr>
        <w:pStyle w:val="6"/>
        <w:ind w:firstLine="0" w:firstLineChars="0"/>
        <w:rPr>
          <w:rFonts w:ascii="宋体" w:hAnsi="宋体" w:cs="宋体"/>
          <w:sz w:val="24"/>
          <w:highlight w:val="none"/>
        </w:rPr>
      </w:pPr>
    </w:p>
    <w:tbl>
      <w:tblPr>
        <w:tblStyle w:val="14"/>
        <w:tblW w:w="9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1808"/>
        <w:gridCol w:w="1808"/>
        <w:gridCol w:w="1808"/>
        <w:gridCol w:w="1808"/>
      </w:tblGrid>
      <w:tr w14:paraId="2446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1808" w:type="dxa"/>
            <w:vAlign w:val="center"/>
          </w:tcPr>
          <w:p w14:paraId="0F1EAD0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序号</w:t>
            </w:r>
          </w:p>
        </w:tc>
        <w:tc>
          <w:tcPr>
            <w:tcW w:w="1808" w:type="dxa"/>
            <w:vAlign w:val="center"/>
          </w:tcPr>
          <w:p w14:paraId="4420B64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使用方</w:t>
            </w:r>
          </w:p>
        </w:tc>
        <w:tc>
          <w:tcPr>
            <w:tcW w:w="1808" w:type="dxa"/>
            <w:vAlign w:val="center"/>
          </w:tcPr>
          <w:p w14:paraId="5D032A9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项目名称</w:t>
            </w:r>
          </w:p>
        </w:tc>
        <w:tc>
          <w:tcPr>
            <w:tcW w:w="1808" w:type="dxa"/>
            <w:vAlign w:val="center"/>
          </w:tcPr>
          <w:p w14:paraId="42F1612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成交金额</w:t>
            </w:r>
          </w:p>
          <w:p w14:paraId="71B8C06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（单位：元）</w:t>
            </w:r>
          </w:p>
        </w:tc>
        <w:tc>
          <w:tcPr>
            <w:tcW w:w="1808" w:type="dxa"/>
            <w:vAlign w:val="center"/>
          </w:tcPr>
          <w:p w14:paraId="07BB1A5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r>
              <w:rPr>
                <w:rFonts w:hint="eastAsia" w:ascii="Times New Roman" w:hAnsi="Times New Roman" w:eastAsia="Times New Roman" w:cs="Times New Roman"/>
                <w:kern w:val="0"/>
                <w:sz w:val="24"/>
                <w:szCs w:val="20"/>
                <w:highlight w:val="none"/>
              </w:rPr>
              <w:t>签订时间</w:t>
            </w:r>
          </w:p>
        </w:tc>
      </w:tr>
      <w:tr w14:paraId="05E5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7E17C38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40E5A20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596D9031">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7A3D5471">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6AEC7F5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r>
      <w:tr w14:paraId="0823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2A86448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1AF0365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4FE36C6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6ED1A61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c>
          <w:tcPr>
            <w:tcW w:w="1808" w:type="dxa"/>
            <w:vAlign w:val="center"/>
          </w:tcPr>
          <w:p w14:paraId="4B4C9A0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highlight w:val="none"/>
              </w:rPr>
            </w:pPr>
          </w:p>
        </w:tc>
      </w:tr>
    </w:tbl>
    <w:p w14:paraId="39B4CA85">
      <w:pPr>
        <w:rPr>
          <w:rFonts w:ascii="Times New Roman" w:hAnsi="Times New Roman" w:eastAsia="宋体" w:cs="Times New Roman"/>
          <w:szCs w:val="22"/>
          <w:highlight w:val="none"/>
        </w:rPr>
      </w:pPr>
    </w:p>
    <w:p w14:paraId="5E3B3482">
      <w:pPr>
        <w:pStyle w:val="20"/>
        <w:ind w:firstLine="0" w:firstLineChars="0"/>
        <w:rPr>
          <w:rFonts w:hint="default"/>
          <w:highlight w:val="none"/>
        </w:rPr>
      </w:pPr>
      <w:r>
        <w:rPr>
          <w:highlight w:val="none"/>
        </w:rPr>
        <w:t>1.相关业绩是指供应商202</w:t>
      </w:r>
      <w:r>
        <w:rPr>
          <w:rFonts w:hint="eastAsia"/>
          <w:highlight w:val="none"/>
          <w:lang w:val="en-US" w:eastAsia="zh-CN"/>
        </w:rPr>
        <w:t>3</w:t>
      </w:r>
      <w:r>
        <w:rPr>
          <w:highlight w:val="none"/>
        </w:rPr>
        <w:t>年1月1日至今类似业绩；</w:t>
      </w:r>
    </w:p>
    <w:p w14:paraId="3BB25E1E">
      <w:pPr>
        <w:pStyle w:val="20"/>
        <w:ind w:firstLine="0" w:firstLineChars="0"/>
        <w:rPr>
          <w:rFonts w:hint="default"/>
          <w:highlight w:val="none"/>
        </w:rPr>
      </w:pPr>
      <w:r>
        <w:rPr>
          <w:highlight w:val="none"/>
        </w:rPr>
        <w:t>2.此表仅提供表格形式，供应商应根据需要准备足够数量的表格来填写。</w:t>
      </w:r>
    </w:p>
    <w:p w14:paraId="073F5B1F">
      <w:pPr>
        <w:pStyle w:val="20"/>
        <w:ind w:firstLine="480"/>
        <w:rPr>
          <w:rFonts w:hint="default"/>
          <w:highlight w:val="none"/>
        </w:rPr>
      </w:pPr>
    </w:p>
    <w:p w14:paraId="4E1A8EBE">
      <w:pPr>
        <w:pStyle w:val="20"/>
        <w:ind w:firstLine="0" w:firstLineChars="0"/>
        <w:rPr>
          <w:rFonts w:hint="default"/>
          <w:highlight w:val="none"/>
        </w:rPr>
      </w:pPr>
      <w:r>
        <w:rPr>
          <w:highlight w:val="none"/>
        </w:rPr>
        <w:t>法定代表人或授权委托人签字：</w:t>
      </w:r>
    </w:p>
    <w:p w14:paraId="43853044">
      <w:pPr>
        <w:pStyle w:val="20"/>
        <w:ind w:firstLine="480"/>
        <w:rPr>
          <w:rFonts w:hint="default"/>
          <w:highlight w:val="none"/>
        </w:rPr>
      </w:pPr>
    </w:p>
    <w:p w14:paraId="7443B01A">
      <w:pPr>
        <w:pStyle w:val="20"/>
        <w:ind w:firstLine="0" w:firstLineChars="0"/>
        <w:rPr>
          <w:rFonts w:hint="default"/>
          <w:highlight w:val="none"/>
        </w:rPr>
      </w:pPr>
      <w:r>
        <w:rPr>
          <w:highlight w:val="none"/>
        </w:rPr>
        <w:t>供应商全称公章：</w:t>
      </w:r>
    </w:p>
    <w:p w14:paraId="454ECD12">
      <w:pPr>
        <w:pStyle w:val="20"/>
        <w:ind w:firstLine="480"/>
        <w:rPr>
          <w:rFonts w:hint="default"/>
          <w:highlight w:val="none"/>
        </w:rPr>
      </w:pPr>
    </w:p>
    <w:p w14:paraId="568F2E44">
      <w:pPr>
        <w:pStyle w:val="20"/>
        <w:ind w:firstLine="0" w:firstLineChars="0"/>
        <w:rPr>
          <w:rFonts w:hint="default"/>
          <w:highlight w:val="none"/>
        </w:rPr>
      </w:pPr>
      <w:r>
        <w:rPr>
          <w:highlight w:val="none"/>
          <w:lang w:eastAsia="zh-Hans"/>
        </w:rPr>
        <w:t>日期：年月日</w:t>
      </w:r>
    </w:p>
    <w:p w14:paraId="4B9E5FD4">
      <w:pPr>
        <w:rPr>
          <w:rFonts w:ascii="Times New Roman" w:hAnsi="Times New Roman" w:eastAsia="宋体" w:cs="Times New Roman"/>
          <w:b/>
          <w:sz w:val="30"/>
          <w:szCs w:val="30"/>
          <w:highlight w:val="none"/>
        </w:rPr>
      </w:pPr>
    </w:p>
    <w:p w14:paraId="2E930399">
      <w:pPr>
        <w:rPr>
          <w:rFonts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br w:type="page"/>
      </w:r>
    </w:p>
    <w:p w14:paraId="1414836A">
      <w:pPr>
        <w:numPr>
          <w:ilvl w:val="0"/>
          <w:numId w:val="10"/>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项目实施方案；</w:t>
      </w:r>
    </w:p>
    <w:p w14:paraId="66C34774">
      <w:pPr>
        <w:numPr>
          <w:ilvl w:val="0"/>
          <w:numId w:val="10"/>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拟投入产品竞争力；</w:t>
      </w:r>
    </w:p>
    <w:p w14:paraId="6CAA8CDD">
      <w:pPr>
        <w:numPr>
          <w:ilvl w:val="0"/>
          <w:numId w:val="10"/>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售后服务方案；</w:t>
      </w:r>
    </w:p>
    <w:p w14:paraId="4D6BC431">
      <w:pPr>
        <w:numPr>
          <w:ilvl w:val="0"/>
          <w:numId w:val="10"/>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培训方案；</w:t>
      </w:r>
    </w:p>
    <w:p w14:paraId="555693F3">
      <w:pPr>
        <w:numPr>
          <w:ilvl w:val="0"/>
          <w:numId w:val="10"/>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其他承诺；</w:t>
      </w:r>
    </w:p>
    <w:p w14:paraId="50F57FC0">
      <w:pPr>
        <w:numPr>
          <w:ilvl w:val="0"/>
          <w:numId w:val="10"/>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政府采购政策；</w:t>
      </w:r>
    </w:p>
    <w:p w14:paraId="311655E6">
      <w:pPr>
        <w:numPr>
          <w:ilvl w:val="0"/>
          <w:numId w:val="10"/>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企业实力；</w:t>
      </w:r>
    </w:p>
    <w:p w14:paraId="05C71333">
      <w:pPr>
        <w:numPr>
          <w:ilvl w:val="0"/>
          <w:numId w:val="10"/>
        </w:numPr>
        <w:jc w:val="left"/>
        <w:rPr>
          <w:rFonts w:hint="eastAsia"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企业业绩；</w:t>
      </w:r>
    </w:p>
    <w:p w14:paraId="6A08CFF2">
      <w:pPr>
        <w:numPr>
          <w:ilvl w:val="0"/>
          <w:numId w:val="10"/>
        </w:numPr>
        <w:jc w:val="left"/>
        <w:rPr>
          <w:rFonts w:ascii="Times New Roman" w:hAnsi="Times New Roman" w:eastAsia="宋体" w:cs="Times New Roman"/>
          <w:b/>
          <w:sz w:val="30"/>
          <w:szCs w:val="30"/>
          <w:highlight w:val="none"/>
        </w:rPr>
      </w:pPr>
      <w:r>
        <w:rPr>
          <w:rFonts w:hint="eastAsia" w:ascii="Times New Roman" w:hAnsi="Times New Roman" w:eastAsia="宋体" w:cs="Times New Roman"/>
          <w:b/>
          <w:sz w:val="30"/>
          <w:szCs w:val="30"/>
          <w:highlight w:val="none"/>
        </w:rPr>
        <w:t>其他供应商认为有必要提交的材料。</w:t>
      </w:r>
      <w:r>
        <w:rPr>
          <w:rFonts w:hint="eastAsia" w:ascii="Times New Roman" w:hAnsi="Times New Roman" w:eastAsia="宋体" w:cs="Times New Roman"/>
          <w:b/>
          <w:sz w:val="30"/>
          <w:szCs w:val="30"/>
          <w:highlight w:val="none"/>
        </w:rPr>
        <w:br w:type="page"/>
      </w:r>
    </w:p>
    <w:p w14:paraId="1434F7F5">
      <w:pPr>
        <w:pStyle w:val="6"/>
        <w:ind w:firstLine="0" w:firstLineChars="0"/>
        <w:rPr>
          <w:highlight w:val="none"/>
        </w:rPr>
      </w:pPr>
      <w:bookmarkStart w:id="1" w:name="附录5"/>
      <w:r>
        <w:rPr>
          <w:rFonts w:hint="eastAsia"/>
          <w:highlight w:val="none"/>
        </w:rPr>
        <w:t>附件5</w:t>
      </w:r>
    </w:p>
    <w:bookmarkEnd w:id="1"/>
    <w:p w14:paraId="396AFB61">
      <w:pPr>
        <w:ind w:firstLine="480"/>
        <w:jc w:val="right"/>
        <w:rPr>
          <w:rFonts w:ascii="Times New Roman" w:hAnsi="Times New Roman" w:eastAsia="宋体" w:cs="Times New Roman"/>
          <w:sz w:val="40"/>
          <w:szCs w:val="36"/>
          <w:highlight w:val="none"/>
        </w:rPr>
      </w:pPr>
      <w:r>
        <w:rPr>
          <w:rFonts w:hint="eastAsia" w:ascii="Times New Roman" w:hAnsi="Times New Roman" w:eastAsia="宋体" w:cs="Times New Roman"/>
          <w:sz w:val="40"/>
          <w:szCs w:val="36"/>
          <w:highlight w:val="none"/>
        </w:rPr>
        <w:t>正本/副本</w:t>
      </w:r>
    </w:p>
    <w:p w14:paraId="3418368C">
      <w:pPr>
        <w:jc w:val="center"/>
        <w:rPr>
          <w:rFonts w:ascii="Times New Roman" w:hAnsi="Times New Roman" w:eastAsia="宋体" w:cs="Times New Roman"/>
          <w:sz w:val="96"/>
          <w:szCs w:val="72"/>
          <w:highlight w:val="none"/>
        </w:rPr>
      </w:pPr>
    </w:p>
    <w:p w14:paraId="22D8AB6A">
      <w:pPr>
        <w:jc w:val="center"/>
        <w:rPr>
          <w:rFonts w:ascii="Times New Roman" w:hAnsi="Times New Roman" w:eastAsia="宋体" w:cs="Times New Roman"/>
          <w:sz w:val="96"/>
          <w:szCs w:val="72"/>
          <w:highlight w:val="none"/>
        </w:rPr>
      </w:pPr>
    </w:p>
    <w:p w14:paraId="525A01C6">
      <w:pPr>
        <w:jc w:val="center"/>
        <w:rPr>
          <w:rFonts w:ascii="Times New Roman" w:hAnsi="Times New Roman" w:eastAsia="宋体" w:cs="Times New Roman"/>
          <w:sz w:val="56"/>
          <w:szCs w:val="52"/>
          <w:highlight w:val="none"/>
        </w:rPr>
      </w:pPr>
    </w:p>
    <w:p w14:paraId="5EAF7830">
      <w:pPr>
        <w:jc w:val="center"/>
        <w:outlineLvl w:val="1"/>
        <w:rPr>
          <w:rFonts w:ascii="Times New Roman" w:hAnsi="Times New Roman" w:eastAsia="宋体" w:cs="Times New Roman"/>
          <w:sz w:val="96"/>
          <w:szCs w:val="72"/>
          <w:highlight w:val="none"/>
        </w:rPr>
      </w:pPr>
      <w:r>
        <w:rPr>
          <w:rFonts w:hint="eastAsia" w:ascii="Times New Roman" w:hAnsi="Times New Roman" w:eastAsia="宋体" w:cs="Times New Roman"/>
          <w:sz w:val="96"/>
          <w:szCs w:val="72"/>
          <w:highlight w:val="none"/>
        </w:rPr>
        <w:t>报价文件</w:t>
      </w:r>
    </w:p>
    <w:p w14:paraId="22DF994C">
      <w:pPr>
        <w:jc w:val="center"/>
        <w:rPr>
          <w:rFonts w:ascii="Times New Roman" w:hAnsi="Times New Roman" w:eastAsia="宋体" w:cs="Times New Roman"/>
          <w:sz w:val="96"/>
          <w:szCs w:val="72"/>
          <w:highlight w:val="none"/>
        </w:rPr>
      </w:pPr>
    </w:p>
    <w:p w14:paraId="01D5BAC8">
      <w:pPr>
        <w:jc w:val="center"/>
        <w:rPr>
          <w:rFonts w:ascii="Times New Roman" w:hAnsi="Times New Roman" w:eastAsia="宋体" w:cs="Times New Roman"/>
          <w:sz w:val="56"/>
          <w:szCs w:val="52"/>
          <w:highlight w:val="none"/>
        </w:rPr>
      </w:pPr>
    </w:p>
    <w:p w14:paraId="62273D2D">
      <w:pPr>
        <w:pStyle w:val="6"/>
        <w:ind w:firstLine="280"/>
        <w:rPr>
          <w:highlight w:val="none"/>
        </w:rPr>
      </w:pPr>
      <w:r>
        <w:rPr>
          <w:rFonts w:hint="eastAsia"/>
          <w:highlight w:val="none"/>
        </w:rPr>
        <w:t>项目名称：</w:t>
      </w:r>
    </w:p>
    <w:p w14:paraId="5EA7D6C1">
      <w:pPr>
        <w:pStyle w:val="6"/>
        <w:ind w:firstLine="280"/>
        <w:rPr>
          <w:highlight w:val="none"/>
        </w:rPr>
      </w:pPr>
      <w:r>
        <w:rPr>
          <w:rFonts w:hint="eastAsia"/>
          <w:highlight w:val="none"/>
        </w:rPr>
        <w:t>项目编号：</w:t>
      </w:r>
    </w:p>
    <w:p w14:paraId="716C4EB9">
      <w:pPr>
        <w:pStyle w:val="6"/>
        <w:ind w:firstLine="280"/>
        <w:rPr>
          <w:highlight w:val="none"/>
        </w:rPr>
      </w:pPr>
      <w:r>
        <w:rPr>
          <w:rFonts w:hint="eastAsia"/>
          <w:highlight w:val="none"/>
        </w:rPr>
        <w:t>投标人名称：</w:t>
      </w:r>
    </w:p>
    <w:p w14:paraId="51BB82F5">
      <w:pPr>
        <w:pStyle w:val="6"/>
        <w:ind w:firstLine="280"/>
        <w:rPr>
          <w:highlight w:val="none"/>
        </w:rPr>
      </w:pPr>
      <w:r>
        <w:rPr>
          <w:rFonts w:hint="eastAsia"/>
          <w:highlight w:val="none"/>
        </w:rPr>
        <w:t>投标人地址：</w:t>
      </w:r>
    </w:p>
    <w:p w14:paraId="37EB97B0">
      <w:pPr>
        <w:pStyle w:val="6"/>
        <w:ind w:firstLine="280"/>
        <w:rPr>
          <w:highlight w:val="none"/>
        </w:rPr>
      </w:pPr>
      <w:r>
        <w:rPr>
          <w:rFonts w:hint="eastAsia"/>
          <w:highlight w:val="none"/>
        </w:rPr>
        <w:t>在年月日时分之前不得启封</w:t>
      </w:r>
    </w:p>
    <w:p w14:paraId="60E3B288">
      <w:pPr>
        <w:ind w:firstLine="480"/>
        <w:jc w:val="right"/>
        <w:rPr>
          <w:rFonts w:ascii="Times New Roman" w:hAnsi="Times New Roman" w:eastAsia="宋体" w:cs="Times New Roman"/>
          <w:b/>
          <w:sz w:val="32"/>
          <w:highlight w:val="none"/>
        </w:rPr>
      </w:pPr>
      <w:r>
        <w:rPr>
          <w:rFonts w:hint="eastAsia" w:ascii="Times New Roman" w:hAnsi="Times New Roman" w:eastAsia="宋体" w:cs="Times New Roman"/>
          <w:sz w:val="28"/>
          <w:highlight w:val="none"/>
        </w:rPr>
        <w:t>年月日</w:t>
      </w:r>
    </w:p>
    <w:p w14:paraId="6F20A5A9">
      <w:pPr>
        <w:rPr>
          <w:rFonts w:ascii="Times New Roman" w:hAnsi="Times New Roman" w:eastAsia="宋体" w:cs="Times New Roman"/>
          <w:b/>
          <w:sz w:val="32"/>
          <w:highlight w:val="none"/>
        </w:rPr>
      </w:pPr>
      <w:r>
        <w:rPr>
          <w:rFonts w:hint="eastAsia" w:ascii="Times New Roman" w:hAnsi="Times New Roman" w:eastAsia="宋体" w:cs="Times New Roman"/>
          <w:b/>
          <w:sz w:val="32"/>
          <w:highlight w:val="none"/>
        </w:rPr>
        <w:br w:type="page"/>
      </w:r>
    </w:p>
    <w:p w14:paraId="2D4E79F4">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rPr>
        <w:t>一、投标响应函</w:t>
      </w:r>
    </w:p>
    <w:p w14:paraId="16EFBD1E">
      <w:pPr>
        <w:pStyle w:val="20"/>
        <w:ind w:firstLine="0" w:firstLineChars="0"/>
        <w:rPr>
          <w:rFonts w:hint="default"/>
          <w:highlight w:val="none"/>
        </w:rPr>
      </w:pPr>
      <w:r>
        <w:rPr>
          <w:highlight w:val="none"/>
        </w:rPr>
        <w:t>致湖州学院：</w:t>
      </w:r>
    </w:p>
    <w:p w14:paraId="28064826">
      <w:pPr>
        <w:pStyle w:val="20"/>
        <w:ind w:firstLine="480"/>
        <w:rPr>
          <w:rFonts w:hint="default"/>
          <w:highlight w:val="none"/>
        </w:rPr>
      </w:pPr>
      <w:r>
        <w:rPr>
          <w:highlight w:val="none"/>
        </w:rPr>
        <w:t>本人（姓名），身份证号：，系（供应商名称）的法定代表人，现授权（姓名），身份证号：，为授权委托人。以我方的名义参加编号：，名称</w:t>
      </w:r>
      <w:r>
        <w:rPr>
          <w:highlight w:val="none"/>
          <w:u w:val="single"/>
        </w:rPr>
        <w:t>：</w:t>
      </w:r>
      <w:r>
        <w:rPr>
          <w:highlight w:val="none"/>
        </w:rPr>
        <w:t>，的投标活动，并进行投标。为此：</w:t>
      </w:r>
    </w:p>
    <w:p w14:paraId="494E25BD">
      <w:pPr>
        <w:pStyle w:val="20"/>
        <w:ind w:firstLine="480"/>
        <w:rPr>
          <w:rFonts w:hint="default"/>
          <w:highlight w:val="none"/>
        </w:rPr>
      </w:pPr>
      <w:r>
        <w:rPr>
          <w:highlight w:val="none"/>
        </w:rPr>
        <w:t>1</w:t>
      </w:r>
      <w:r>
        <w:rPr>
          <w:rFonts w:hint="eastAsia"/>
          <w:highlight w:val="none"/>
          <w:lang w:val="en-US" w:eastAsia="zh-CN"/>
        </w:rPr>
        <w:t>.</w:t>
      </w:r>
      <w:r>
        <w:rPr>
          <w:highlight w:val="none"/>
        </w:rPr>
        <w:t>总投标价格详见开标一览表。</w:t>
      </w:r>
    </w:p>
    <w:p w14:paraId="4DA6643B">
      <w:pPr>
        <w:pStyle w:val="20"/>
        <w:ind w:firstLine="480"/>
        <w:rPr>
          <w:rFonts w:hint="default"/>
          <w:highlight w:val="none"/>
        </w:rPr>
      </w:pPr>
      <w:r>
        <w:rPr>
          <w:highlight w:val="none"/>
        </w:rPr>
        <w:t>2</w:t>
      </w:r>
      <w:r>
        <w:rPr>
          <w:rFonts w:hint="eastAsia"/>
          <w:highlight w:val="none"/>
          <w:lang w:val="en-US" w:eastAsia="zh-CN"/>
        </w:rPr>
        <w:t>.</w:t>
      </w:r>
      <w:r>
        <w:rPr>
          <w:highlight w:val="none"/>
        </w:rPr>
        <w:t>我单位保证遵守招标文件中的有关规定，并保证忠实地执行甲乙双方所签的经济合同，并承担合同规定的责任义务。</w:t>
      </w:r>
    </w:p>
    <w:p w14:paraId="2291681C">
      <w:pPr>
        <w:pStyle w:val="20"/>
        <w:ind w:firstLine="480"/>
        <w:rPr>
          <w:rFonts w:hint="default"/>
          <w:highlight w:val="none"/>
        </w:rPr>
      </w:pPr>
      <w:r>
        <w:rPr>
          <w:highlight w:val="none"/>
        </w:rPr>
        <w:t>3</w:t>
      </w:r>
      <w:r>
        <w:rPr>
          <w:rFonts w:hint="eastAsia"/>
          <w:highlight w:val="none"/>
          <w:lang w:val="en-US" w:eastAsia="zh-CN"/>
        </w:rPr>
        <w:t>.</w:t>
      </w:r>
      <w:r>
        <w:rPr>
          <w:highlight w:val="none"/>
        </w:rPr>
        <w:t>我单位同意按采购人要求提供任何与本项投标有关的数据、情况和资料。</w:t>
      </w:r>
    </w:p>
    <w:p w14:paraId="7D42ECC0">
      <w:pPr>
        <w:pStyle w:val="20"/>
        <w:ind w:firstLine="480"/>
        <w:rPr>
          <w:rFonts w:hint="default"/>
          <w:highlight w:val="none"/>
        </w:rPr>
      </w:pPr>
      <w:r>
        <w:rPr>
          <w:highlight w:val="none"/>
        </w:rPr>
        <w:t>4</w:t>
      </w:r>
      <w:r>
        <w:rPr>
          <w:rFonts w:hint="eastAsia"/>
          <w:highlight w:val="none"/>
          <w:lang w:val="en-US" w:eastAsia="zh-CN"/>
        </w:rPr>
        <w:t>.</w:t>
      </w:r>
      <w:r>
        <w:rPr>
          <w:highlight w:val="none"/>
        </w:rPr>
        <w:t>我单位保证按本项目招标文件中规定的条款参与投标活动，并为自身的行为承担相应的责任。我单位出现违反国家法律法规和本项目招标文件规定的行为，愿意接受相应的处罚并承担由此引起的赔偿责任。</w:t>
      </w:r>
    </w:p>
    <w:p w14:paraId="5CD33671">
      <w:pPr>
        <w:pStyle w:val="20"/>
        <w:ind w:firstLine="480"/>
        <w:rPr>
          <w:rFonts w:hint="default"/>
          <w:highlight w:val="none"/>
        </w:rPr>
      </w:pPr>
      <w:r>
        <w:rPr>
          <w:highlight w:val="none"/>
        </w:rPr>
        <w:t>5</w:t>
      </w:r>
      <w:r>
        <w:rPr>
          <w:rFonts w:hint="eastAsia"/>
          <w:highlight w:val="none"/>
          <w:lang w:val="en-US" w:eastAsia="zh-CN"/>
        </w:rPr>
        <w:t>.</w:t>
      </w:r>
      <w:r>
        <w:rPr>
          <w:highlight w:val="none"/>
        </w:rPr>
        <w:t>本投标自开标之日起60日内有效。</w:t>
      </w:r>
    </w:p>
    <w:p w14:paraId="5A520AA6">
      <w:pPr>
        <w:pStyle w:val="20"/>
        <w:ind w:firstLine="480"/>
        <w:rPr>
          <w:rFonts w:hint="default"/>
          <w:highlight w:val="none"/>
        </w:rPr>
      </w:pPr>
      <w:r>
        <w:rPr>
          <w:highlight w:val="none"/>
        </w:rPr>
        <w:t>6</w:t>
      </w:r>
      <w:r>
        <w:rPr>
          <w:rFonts w:hint="eastAsia"/>
          <w:highlight w:val="none"/>
          <w:lang w:val="en-US" w:eastAsia="zh-CN"/>
        </w:rPr>
        <w:t>.</w:t>
      </w:r>
      <w:r>
        <w:rPr>
          <w:highlight w:val="none"/>
        </w:rPr>
        <w:t>我单位已经详细审查全部招标文件，包括修改文件（如有的话）以及全部参考资料和有关附件，我们完全理解并同意放弃对这方面有不明及误解的权力。</w:t>
      </w:r>
    </w:p>
    <w:p w14:paraId="486A9E7B">
      <w:pPr>
        <w:pStyle w:val="20"/>
        <w:ind w:firstLine="480"/>
        <w:rPr>
          <w:rFonts w:hint="default"/>
          <w:highlight w:val="none"/>
        </w:rPr>
      </w:pPr>
      <w:r>
        <w:rPr>
          <w:highlight w:val="none"/>
        </w:rPr>
        <w:t>7</w:t>
      </w:r>
      <w:r>
        <w:rPr>
          <w:rFonts w:hint="eastAsia"/>
          <w:highlight w:val="none"/>
          <w:lang w:val="en-US" w:eastAsia="zh-CN"/>
        </w:rPr>
        <w:t>.</w:t>
      </w:r>
      <w:r>
        <w:rPr>
          <w:highlight w:val="none"/>
        </w:rPr>
        <w:t>在规定的开标时间后（在投标有效期内），如果我们撤回投标，我们按照采购文件约定向利益受损方承担赔偿责任。</w:t>
      </w:r>
    </w:p>
    <w:p w14:paraId="6E258AF6">
      <w:pPr>
        <w:pStyle w:val="20"/>
        <w:ind w:firstLine="480"/>
        <w:rPr>
          <w:rFonts w:hint="default"/>
          <w:highlight w:val="none"/>
        </w:rPr>
      </w:pPr>
      <w:r>
        <w:rPr>
          <w:highlight w:val="none"/>
        </w:rPr>
        <w:t>8</w:t>
      </w:r>
      <w:r>
        <w:rPr>
          <w:rFonts w:hint="eastAsia"/>
          <w:highlight w:val="none"/>
          <w:lang w:val="en-US" w:eastAsia="zh-CN"/>
        </w:rPr>
        <w:t>.</w:t>
      </w:r>
      <w:r>
        <w:rPr>
          <w:highlight w:val="none"/>
        </w:rPr>
        <w:t>我单位完全理解贵方不一定要接受最低价的投标或收到的任何投标。</w:t>
      </w:r>
    </w:p>
    <w:p w14:paraId="7641EF63">
      <w:pPr>
        <w:pStyle w:val="20"/>
        <w:ind w:firstLine="480"/>
        <w:rPr>
          <w:rFonts w:hint="default"/>
          <w:highlight w:val="none"/>
        </w:rPr>
      </w:pPr>
    </w:p>
    <w:p w14:paraId="5393B241">
      <w:pPr>
        <w:pStyle w:val="20"/>
        <w:ind w:firstLine="480"/>
        <w:rPr>
          <w:rFonts w:hint="default"/>
          <w:highlight w:val="none"/>
        </w:rPr>
      </w:pPr>
      <w:r>
        <w:rPr>
          <w:highlight w:val="none"/>
        </w:rPr>
        <w:t>法定代表人或授权委托人签字：</w:t>
      </w:r>
    </w:p>
    <w:p w14:paraId="0F293FA1">
      <w:pPr>
        <w:pStyle w:val="20"/>
        <w:ind w:firstLine="480"/>
        <w:rPr>
          <w:rFonts w:hint="default"/>
          <w:highlight w:val="none"/>
        </w:rPr>
      </w:pPr>
    </w:p>
    <w:p w14:paraId="46CA5508">
      <w:pPr>
        <w:pStyle w:val="20"/>
        <w:ind w:firstLine="480"/>
        <w:rPr>
          <w:rFonts w:hint="default"/>
          <w:highlight w:val="none"/>
        </w:rPr>
      </w:pPr>
      <w:r>
        <w:rPr>
          <w:highlight w:val="none"/>
        </w:rPr>
        <w:t>供应商全称公章：</w:t>
      </w:r>
    </w:p>
    <w:p w14:paraId="05D1204A">
      <w:pPr>
        <w:pStyle w:val="20"/>
        <w:ind w:firstLine="480"/>
        <w:rPr>
          <w:rFonts w:hint="default"/>
          <w:highlight w:val="none"/>
        </w:rPr>
      </w:pPr>
    </w:p>
    <w:p w14:paraId="6FF44901">
      <w:pPr>
        <w:pStyle w:val="20"/>
        <w:ind w:firstLine="480"/>
        <w:rPr>
          <w:rFonts w:hint="default"/>
          <w:highlight w:val="none"/>
        </w:rPr>
      </w:pPr>
      <w:r>
        <w:rPr>
          <w:highlight w:val="none"/>
          <w:lang w:eastAsia="zh-Hans"/>
        </w:rPr>
        <w:t>日期：年月日</w:t>
      </w:r>
    </w:p>
    <w:p w14:paraId="25D2E8E4">
      <w:pPr>
        <w:pStyle w:val="20"/>
        <w:ind w:firstLine="480"/>
        <w:rPr>
          <w:rFonts w:hint="default"/>
          <w:highlight w:val="none"/>
        </w:rPr>
      </w:pPr>
      <w:r>
        <w:rPr>
          <w:highlight w:val="none"/>
        </w:rPr>
        <w:br w:type="page"/>
      </w:r>
    </w:p>
    <w:p w14:paraId="79E53F8D">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rPr>
        <w:t>二、报价一览表</w:t>
      </w:r>
    </w:p>
    <w:p w14:paraId="3F5B668C">
      <w:pPr>
        <w:spacing w:after="120"/>
        <w:ind w:left="420" w:leftChars="200" w:firstLine="420"/>
        <w:rPr>
          <w:rFonts w:ascii="Times New Roman" w:hAnsi="Times New Roman" w:eastAsia="宋体" w:cs="Times New Roman"/>
          <w:highlight w:val="none"/>
        </w:rPr>
      </w:pPr>
    </w:p>
    <w:p w14:paraId="236D2AFB">
      <w:pPr>
        <w:spacing w:line="360" w:lineRule="auto"/>
        <w:rPr>
          <w:rFonts w:ascii="Times New Roman" w:hAnsi="Times New Roman" w:eastAsia="宋体" w:cs="Times New Roman"/>
          <w:sz w:val="24"/>
          <w:szCs w:val="28"/>
          <w:highlight w:val="none"/>
        </w:rPr>
      </w:pPr>
      <w:r>
        <w:rPr>
          <w:rFonts w:hint="eastAsia" w:ascii="Times New Roman" w:hAnsi="Times New Roman" w:eastAsia="宋体" w:cs="Times New Roman"/>
          <w:sz w:val="24"/>
          <w:szCs w:val="28"/>
          <w:highlight w:val="none"/>
        </w:rPr>
        <w:t>项目名称：</w:t>
      </w:r>
    </w:p>
    <w:p w14:paraId="3E744A91">
      <w:pPr>
        <w:spacing w:line="360" w:lineRule="auto"/>
        <w:rPr>
          <w:rFonts w:ascii="Times New Roman" w:hAnsi="Times New Roman" w:eastAsia="宋体" w:cs="Times New Roman"/>
          <w:sz w:val="24"/>
          <w:szCs w:val="28"/>
          <w:highlight w:val="none"/>
        </w:rPr>
      </w:pPr>
      <w:r>
        <w:rPr>
          <w:rFonts w:hint="eastAsia" w:ascii="Times New Roman" w:hAnsi="Times New Roman" w:eastAsia="宋体" w:cs="Times New Roman"/>
          <w:sz w:val="24"/>
          <w:szCs w:val="28"/>
          <w:highlight w:val="none"/>
        </w:rPr>
        <w:t>项目编号：</w:t>
      </w:r>
    </w:p>
    <w:tbl>
      <w:tblPr>
        <w:tblStyle w:val="14"/>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1"/>
      </w:tblGrid>
      <w:tr w14:paraId="55AC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7851" w:type="dxa"/>
            <w:vAlign w:val="center"/>
          </w:tcPr>
          <w:p w14:paraId="265B864E">
            <w:pPr>
              <w:pStyle w:val="5"/>
              <w:keepNext w:val="0"/>
              <w:keepLines w:val="0"/>
              <w:suppressLineNumbers w:val="0"/>
              <w:spacing w:before="0" w:beforeAutospacing="0" w:after="0" w:afterAutospacing="0"/>
              <w:ind w:left="0" w:right="0"/>
              <w:jc w:val="center"/>
              <w:rPr>
                <w:rFonts w:hint="default" w:cs="Times New Roman"/>
                <w:sz w:val="21"/>
                <w:szCs w:val="21"/>
                <w:highlight w:val="none"/>
              </w:rPr>
            </w:pPr>
            <w:r>
              <w:rPr>
                <w:rFonts w:hint="eastAsia" w:cs="Times New Roman"/>
                <w:sz w:val="21"/>
                <w:szCs w:val="21"/>
                <w:highlight w:val="none"/>
              </w:rPr>
              <w:t>总价</w:t>
            </w:r>
            <w:r>
              <w:rPr>
                <w:rFonts w:hint="eastAsia" w:ascii="Times New Roman" w:hAnsi="Times New Roman" w:eastAsia="宋体" w:cs="Times New Roman"/>
                <w:sz w:val="21"/>
                <w:szCs w:val="21"/>
                <w:highlight w:val="none"/>
              </w:rPr>
              <w:t>（元）</w:t>
            </w:r>
          </w:p>
        </w:tc>
      </w:tr>
      <w:tr w14:paraId="63DE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jc w:val="center"/>
        </w:trPr>
        <w:tc>
          <w:tcPr>
            <w:tcW w:w="7851" w:type="dxa"/>
            <w:vAlign w:val="center"/>
          </w:tcPr>
          <w:p w14:paraId="3D8C0115">
            <w:pPr>
              <w:pStyle w:val="5"/>
              <w:keepNext w:val="0"/>
              <w:keepLines w:val="0"/>
              <w:suppressLineNumbers w:val="0"/>
              <w:spacing w:before="0" w:beforeAutospacing="0" w:after="0" w:afterAutospacing="0"/>
              <w:ind w:left="0" w:right="0"/>
              <w:jc w:val="left"/>
              <w:rPr>
                <w:rFonts w:hint="eastAsia" w:ascii="Times New Roman" w:hAnsi="Times New Roman" w:eastAsia="宋体" w:cs="Times New Roman"/>
                <w:sz w:val="21"/>
                <w:szCs w:val="21"/>
                <w:highlight w:val="none"/>
                <w:lang w:eastAsia="zh-CN"/>
              </w:rPr>
            </w:pPr>
          </w:p>
          <w:p w14:paraId="0D346767">
            <w:pPr>
              <w:pStyle w:val="5"/>
              <w:keepNext w:val="0"/>
              <w:keepLines w:val="0"/>
              <w:suppressLineNumbers w:val="0"/>
              <w:spacing w:before="0" w:beforeAutospacing="0" w:after="0" w:afterAutospacing="0"/>
              <w:ind w:left="0" w:right="0"/>
              <w:jc w:val="left"/>
              <w:rPr>
                <w:rFonts w:hint="eastAsia" w:ascii="Times New Roman" w:hAnsi="Times New Roman" w:eastAsia="宋体" w:cs="Times New Roman"/>
                <w:sz w:val="21"/>
                <w:szCs w:val="21"/>
                <w:highlight w:val="none"/>
                <w:lang w:eastAsia="zh-CN"/>
              </w:rPr>
            </w:pPr>
            <w:r>
              <w:rPr>
                <w:rFonts w:hint="eastAsia" w:ascii="Times New Roman" w:hAnsi="Times New Roman" w:eastAsia="宋体" w:cs="Times New Roman"/>
                <w:sz w:val="21"/>
                <w:szCs w:val="21"/>
                <w:highlight w:val="none"/>
              </w:rPr>
              <w:t>小写</w:t>
            </w:r>
            <w:r>
              <w:rPr>
                <w:rFonts w:hint="default" w:ascii="Times New Roman" w:hAnsi="Times New Roman" w:eastAsia="宋体" w:cs="Times New Roman"/>
                <w:sz w:val="21"/>
                <w:szCs w:val="21"/>
                <w:highlight w:val="none"/>
              </w:rPr>
              <w:t>：</w:t>
            </w:r>
          </w:p>
          <w:p w14:paraId="28310476">
            <w:pPr>
              <w:pStyle w:val="21"/>
              <w:keepNext w:val="0"/>
              <w:keepLines w:val="0"/>
              <w:suppressLineNumbers w:val="0"/>
              <w:spacing w:before="0" w:beforeAutospacing="0" w:after="0" w:afterAutospacing="0"/>
              <w:ind w:left="0" w:right="0"/>
              <w:rPr>
                <w:rFonts w:hint="eastAsia" w:ascii="Times New Roman" w:eastAsia="宋体" w:cs="Times New Roman"/>
                <w:sz w:val="21"/>
                <w:szCs w:val="21"/>
                <w:highlight w:val="none"/>
                <w:lang w:eastAsia="zh-CN"/>
              </w:rPr>
            </w:pPr>
            <w:r>
              <w:rPr>
                <w:rFonts w:hint="default" w:ascii="Times New Roman" w:cs="Times New Roman"/>
                <w:sz w:val="21"/>
                <w:szCs w:val="21"/>
                <w:highlight w:val="none"/>
              </w:rPr>
              <w:t>大写：</w:t>
            </w:r>
          </w:p>
        </w:tc>
      </w:tr>
    </w:tbl>
    <w:p w14:paraId="410B0443">
      <w:pPr>
        <w:spacing w:after="120"/>
        <w:rPr>
          <w:rFonts w:ascii="Times New Roman" w:hAnsi="Times New Roman" w:eastAsia="宋体" w:cs="Times New Roman"/>
          <w:highlight w:val="none"/>
        </w:rPr>
      </w:pPr>
    </w:p>
    <w:p w14:paraId="23C989D5">
      <w:pPr>
        <w:pStyle w:val="5"/>
        <w:numPr>
          <w:ilvl w:val="0"/>
          <w:numId w:val="11"/>
        </w:numPr>
        <w:spacing w:line="360" w:lineRule="auto"/>
        <w:ind w:left="0" w:leftChars="0" w:firstLine="0" w:firstLineChars="0"/>
        <w:jc w:val="left"/>
        <w:rPr>
          <w:rFonts w:cs="Times New Roman"/>
          <w:sz w:val="24"/>
          <w:szCs w:val="22"/>
          <w:highlight w:val="none"/>
        </w:rPr>
      </w:pPr>
      <w:r>
        <w:rPr>
          <w:rFonts w:hint="eastAsia" w:cs="Times New Roman"/>
          <w:sz w:val="24"/>
          <w:szCs w:val="22"/>
          <w:highlight w:val="none"/>
        </w:rPr>
        <w:t>报价一览表中的投标总价，</w:t>
      </w:r>
      <w:r>
        <w:rPr>
          <w:rFonts w:cs="Times New Roman"/>
          <w:sz w:val="24"/>
          <w:szCs w:val="22"/>
          <w:highlight w:val="none"/>
        </w:rPr>
        <w:t>保留小数点后两位</w:t>
      </w:r>
      <w:r>
        <w:rPr>
          <w:rFonts w:hint="eastAsia" w:cs="Times New Roman"/>
          <w:sz w:val="24"/>
          <w:szCs w:val="22"/>
          <w:highlight w:val="none"/>
        </w:rPr>
        <w:t>。报价大写与小写不一致的，</w:t>
      </w:r>
      <w:r>
        <w:rPr>
          <w:rFonts w:hint="eastAsia" w:cs="Times New Roman"/>
          <w:b/>
          <w:bCs/>
          <w:sz w:val="24"/>
          <w:szCs w:val="22"/>
          <w:highlight w:val="none"/>
        </w:rPr>
        <w:t>以大写为准</w:t>
      </w:r>
      <w:r>
        <w:rPr>
          <w:rFonts w:hint="eastAsia" w:cs="Times New Roman"/>
          <w:sz w:val="24"/>
          <w:szCs w:val="22"/>
          <w:highlight w:val="none"/>
        </w:rPr>
        <w:t>。</w:t>
      </w:r>
    </w:p>
    <w:p w14:paraId="0E5446C1">
      <w:pPr>
        <w:pStyle w:val="5"/>
        <w:numPr>
          <w:ilvl w:val="0"/>
          <w:numId w:val="11"/>
        </w:numPr>
        <w:spacing w:line="360" w:lineRule="auto"/>
        <w:ind w:left="0" w:leftChars="0" w:firstLine="0" w:firstLineChars="0"/>
        <w:jc w:val="left"/>
        <w:rPr>
          <w:rFonts w:cs="Times New Roman"/>
          <w:sz w:val="24"/>
          <w:szCs w:val="22"/>
          <w:highlight w:val="none"/>
        </w:rPr>
      </w:pPr>
      <w:r>
        <w:rPr>
          <w:rFonts w:hint="eastAsia" w:cs="Times New Roman"/>
          <w:sz w:val="24"/>
          <w:szCs w:val="22"/>
          <w:highlight w:val="none"/>
        </w:rPr>
        <w:t>报价一览表中的投标价格应包括但不限于投标人各项成本支出、合理的利润、应交纳的税金、完成合同所需的工作开支、政策性文件规定及合同包含的所有风险、责任等完成本项目的所有费用，投标人应根据上述因素自行考虑含入投标报价。</w:t>
      </w:r>
    </w:p>
    <w:p w14:paraId="0D2D6C7E">
      <w:pPr>
        <w:pStyle w:val="5"/>
        <w:numPr>
          <w:ilvl w:val="0"/>
          <w:numId w:val="11"/>
        </w:numPr>
        <w:spacing w:line="360" w:lineRule="auto"/>
        <w:ind w:left="0" w:leftChars="0" w:firstLine="0" w:firstLineChars="0"/>
        <w:jc w:val="left"/>
        <w:rPr>
          <w:rFonts w:cs="Times New Roman"/>
          <w:sz w:val="24"/>
          <w:szCs w:val="22"/>
          <w:highlight w:val="none"/>
        </w:rPr>
      </w:pPr>
      <w:r>
        <w:rPr>
          <w:rFonts w:hint="eastAsia" w:cs="Times New Roman"/>
          <w:sz w:val="24"/>
          <w:szCs w:val="22"/>
          <w:highlight w:val="none"/>
        </w:rPr>
        <w:t>报价一经涂改，应在涂改处加盖供应商公章并由法定代表人或授权委托人签字，否则其投标作无效处理。</w:t>
      </w:r>
    </w:p>
    <w:p w14:paraId="06019FE5">
      <w:pPr>
        <w:pStyle w:val="5"/>
        <w:jc w:val="left"/>
        <w:rPr>
          <w:rFonts w:ascii="Times New Roman" w:hAnsi="Times New Roman" w:eastAsia="宋体" w:cs="Times New Roman"/>
          <w:sz w:val="24"/>
          <w:highlight w:val="none"/>
        </w:rPr>
      </w:pPr>
    </w:p>
    <w:p w14:paraId="331D2C22">
      <w:pPr>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法定代表人或授权委托人签字：</w:t>
      </w:r>
    </w:p>
    <w:p w14:paraId="39C0053D">
      <w:pPr>
        <w:rPr>
          <w:rFonts w:ascii="Times New Roman" w:hAnsi="Times New Roman" w:eastAsia="宋体" w:cs="Times New Roman"/>
          <w:sz w:val="24"/>
          <w:highlight w:val="none"/>
        </w:rPr>
      </w:pPr>
    </w:p>
    <w:p w14:paraId="08142C3B">
      <w:pPr>
        <w:pStyle w:val="6"/>
        <w:ind w:firstLine="0" w:firstLineChars="0"/>
        <w:rPr>
          <w:highlight w:val="none"/>
        </w:rPr>
      </w:pPr>
    </w:p>
    <w:p w14:paraId="1DFFD6BD">
      <w:pPr>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供应商全称公章：</w:t>
      </w:r>
    </w:p>
    <w:p w14:paraId="353D1598">
      <w:pPr>
        <w:pStyle w:val="6"/>
        <w:ind w:firstLine="0" w:firstLineChars="0"/>
        <w:rPr>
          <w:highlight w:val="none"/>
        </w:rPr>
      </w:pPr>
    </w:p>
    <w:p w14:paraId="65207B9D">
      <w:pPr>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lang w:eastAsia="zh-Hans"/>
        </w:rPr>
        <w:t>日期</w:t>
      </w:r>
      <w:r>
        <w:rPr>
          <w:rFonts w:ascii="Times New Roman" w:hAnsi="Times New Roman" w:eastAsia="宋体" w:cs="Times New Roman"/>
          <w:sz w:val="24"/>
          <w:highlight w:val="none"/>
          <w:lang w:eastAsia="zh-Hans"/>
        </w:rPr>
        <w:t>：</w:t>
      </w:r>
      <w:r>
        <w:rPr>
          <w:rFonts w:hint="eastAsia" w:ascii="Times New Roman" w:hAnsi="Times New Roman" w:eastAsia="宋体" w:cs="Times New Roman"/>
          <w:sz w:val="24"/>
          <w:highlight w:val="none"/>
          <w:lang w:eastAsia="zh-Hans"/>
        </w:rPr>
        <w:t>年月日</w:t>
      </w:r>
    </w:p>
    <w:p w14:paraId="645C0B3F">
      <w:pPr>
        <w:widowControl/>
        <w:jc w:val="left"/>
        <w:rPr>
          <w:rFonts w:ascii="仿宋" w:hAnsi="仿宋" w:eastAsia="仿宋" w:cs="Times New Roman"/>
          <w:b/>
          <w:sz w:val="30"/>
          <w:szCs w:val="30"/>
          <w:highlight w:val="none"/>
        </w:rPr>
      </w:pPr>
      <w:r>
        <w:rPr>
          <w:rFonts w:ascii="仿宋" w:hAnsi="仿宋" w:eastAsia="仿宋" w:cs="Times New Roman"/>
          <w:b/>
          <w:sz w:val="30"/>
          <w:szCs w:val="30"/>
          <w:highlight w:val="none"/>
        </w:rPr>
        <w:br w:type="page"/>
      </w:r>
    </w:p>
    <w:p w14:paraId="3ACB9F0B">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rPr>
        <w:t>三、报价明细表</w:t>
      </w:r>
    </w:p>
    <w:p w14:paraId="0A75CBB7">
      <w:pPr>
        <w:spacing w:line="380" w:lineRule="exact"/>
        <w:jc w:val="center"/>
        <w:rPr>
          <w:rFonts w:hint="eastAsia" w:ascii="Times New Roman" w:hAnsi="Times New Roman" w:eastAsia="仿宋" w:cs="Times New Roman"/>
          <w:b/>
          <w:sz w:val="30"/>
          <w:szCs w:val="30"/>
          <w:highlight w:val="none"/>
          <w:lang w:eastAsia="zh-CN"/>
        </w:rPr>
      </w:pPr>
    </w:p>
    <w:tbl>
      <w:tblPr>
        <w:tblStyle w:val="14"/>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1693"/>
        <w:gridCol w:w="1327"/>
        <w:gridCol w:w="1510"/>
        <w:gridCol w:w="1510"/>
        <w:gridCol w:w="1510"/>
      </w:tblGrid>
      <w:tr w14:paraId="6D45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510" w:type="dxa"/>
            <w:tcBorders>
              <w:top w:val="single" w:color="auto" w:sz="4" w:space="0"/>
              <w:left w:val="single" w:color="auto" w:sz="4" w:space="0"/>
              <w:bottom w:val="single" w:color="auto" w:sz="4" w:space="0"/>
              <w:right w:val="single" w:color="auto" w:sz="4" w:space="0"/>
            </w:tcBorders>
            <w:vAlign w:val="center"/>
          </w:tcPr>
          <w:p w14:paraId="666CC456">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r>
              <w:rPr>
                <w:rFonts w:hint="eastAsia" w:ascii="宋体" w:hAnsi="宋体" w:eastAsia="宋体" w:cs="Times New Roman"/>
                <w:kern w:val="0"/>
                <w:sz w:val="24"/>
                <w:highlight w:val="none"/>
              </w:rPr>
              <w:t>序号</w:t>
            </w:r>
          </w:p>
        </w:tc>
        <w:tc>
          <w:tcPr>
            <w:tcW w:w="1693" w:type="dxa"/>
            <w:tcBorders>
              <w:top w:val="single" w:color="auto" w:sz="4" w:space="0"/>
              <w:left w:val="single" w:color="auto" w:sz="4" w:space="0"/>
              <w:bottom w:val="single" w:color="auto" w:sz="4" w:space="0"/>
              <w:right w:val="single" w:color="auto" w:sz="4" w:space="0"/>
            </w:tcBorders>
            <w:vAlign w:val="center"/>
          </w:tcPr>
          <w:p w14:paraId="182B7D73">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lang w:eastAsia="zh-CN"/>
              </w:rPr>
            </w:pPr>
            <w:r>
              <w:rPr>
                <w:rFonts w:hint="eastAsia" w:ascii="宋体" w:hAnsi="宋体" w:eastAsia="宋体" w:cs="Times New Roman"/>
                <w:kern w:val="0"/>
                <w:sz w:val="24"/>
                <w:highlight w:val="none"/>
                <w:lang w:val="en-US" w:eastAsia="zh-CN"/>
              </w:rPr>
              <w:t>名称</w:t>
            </w:r>
          </w:p>
        </w:tc>
        <w:tc>
          <w:tcPr>
            <w:tcW w:w="1327" w:type="dxa"/>
            <w:tcBorders>
              <w:top w:val="single" w:color="auto" w:sz="4" w:space="0"/>
              <w:left w:val="single" w:color="auto" w:sz="4" w:space="0"/>
              <w:bottom w:val="single" w:color="auto" w:sz="4" w:space="0"/>
              <w:right w:val="single" w:color="auto" w:sz="4" w:space="0"/>
            </w:tcBorders>
            <w:vAlign w:val="center"/>
          </w:tcPr>
          <w:p w14:paraId="459C1940">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lang w:eastAsia="zh-CN"/>
              </w:rPr>
            </w:pPr>
            <w:r>
              <w:rPr>
                <w:rFonts w:hint="eastAsia" w:ascii="宋体" w:hAnsi="宋体" w:eastAsia="宋体" w:cs="Times New Roman"/>
                <w:kern w:val="0"/>
                <w:sz w:val="24"/>
                <w:highlight w:val="none"/>
                <w:lang w:val="en-US" w:eastAsia="zh-CN"/>
              </w:rPr>
              <w:t>品牌型号</w:t>
            </w:r>
          </w:p>
        </w:tc>
        <w:tc>
          <w:tcPr>
            <w:tcW w:w="1510" w:type="dxa"/>
            <w:tcBorders>
              <w:top w:val="single" w:color="auto" w:sz="4" w:space="0"/>
              <w:left w:val="single" w:color="auto" w:sz="4" w:space="0"/>
              <w:bottom w:val="single" w:color="auto" w:sz="4" w:space="0"/>
              <w:right w:val="single" w:color="auto" w:sz="4" w:space="0"/>
            </w:tcBorders>
            <w:vAlign w:val="center"/>
          </w:tcPr>
          <w:p w14:paraId="47462E14">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r>
              <w:rPr>
                <w:rFonts w:hint="eastAsia" w:ascii="宋体" w:hAnsi="宋体" w:eastAsia="宋体" w:cs="Times New Roman"/>
                <w:kern w:val="0"/>
                <w:sz w:val="24"/>
                <w:highlight w:val="none"/>
              </w:rPr>
              <w:t>单价（元）</w:t>
            </w:r>
          </w:p>
        </w:tc>
        <w:tc>
          <w:tcPr>
            <w:tcW w:w="1510" w:type="dxa"/>
            <w:tcBorders>
              <w:top w:val="single" w:color="auto" w:sz="4" w:space="0"/>
              <w:left w:val="single" w:color="auto" w:sz="4" w:space="0"/>
              <w:bottom w:val="single" w:color="auto" w:sz="4" w:space="0"/>
              <w:right w:val="single" w:color="auto" w:sz="4" w:space="0"/>
            </w:tcBorders>
            <w:vAlign w:val="center"/>
          </w:tcPr>
          <w:p w14:paraId="36EBE666">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r>
              <w:rPr>
                <w:rFonts w:hint="eastAsia" w:ascii="宋体" w:hAnsi="宋体" w:eastAsia="宋体" w:cs="Times New Roman"/>
                <w:kern w:val="0"/>
                <w:sz w:val="24"/>
                <w:highlight w:val="none"/>
              </w:rPr>
              <w:t>数量（份）</w:t>
            </w:r>
          </w:p>
        </w:tc>
        <w:tc>
          <w:tcPr>
            <w:tcW w:w="1510" w:type="dxa"/>
            <w:tcBorders>
              <w:top w:val="single" w:color="auto" w:sz="4" w:space="0"/>
              <w:left w:val="single" w:color="auto" w:sz="4" w:space="0"/>
              <w:bottom w:val="single" w:color="auto" w:sz="4" w:space="0"/>
              <w:right w:val="single" w:color="auto" w:sz="4" w:space="0"/>
            </w:tcBorders>
            <w:vAlign w:val="center"/>
          </w:tcPr>
          <w:p w14:paraId="5BA86ADD">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r>
              <w:rPr>
                <w:rFonts w:hint="eastAsia" w:ascii="宋体" w:hAnsi="宋体" w:eastAsia="宋体" w:cs="Times New Roman"/>
                <w:kern w:val="0"/>
                <w:sz w:val="24"/>
                <w:highlight w:val="none"/>
              </w:rPr>
              <w:t>总价（元）</w:t>
            </w:r>
          </w:p>
        </w:tc>
      </w:tr>
      <w:tr w14:paraId="6E52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510" w:type="dxa"/>
            <w:tcBorders>
              <w:top w:val="single" w:color="auto" w:sz="4" w:space="0"/>
              <w:left w:val="single" w:color="auto" w:sz="4" w:space="0"/>
              <w:bottom w:val="single" w:color="auto" w:sz="4" w:space="0"/>
              <w:right w:val="single" w:color="auto" w:sz="4" w:space="0"/>
            </w:tcBorders>
            <w:vAlign w:val="center"/>
          </w:tcPr>
          <w:p w14:paraId="789540A9">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p>
        </w:tc>
        <w:tc>
          <w:tcPr>
            <w:tcW w:w="1693" w:type="dxa"/>
            <w:tcBorders>
              <w:top w:val="single" w:color="auto" w:sz="4" w:space="0"/>
              <w:left w:val="single" w:color="auto" w:sz="4" w:space="0"/>
              <w:bottom w:val="single" w:color="auto" w:sz="4" w:space="0"/>
              <w:right w:val="single" w:color="auto" w:sz="4" w:space="0"/>
            </w:tcBorders>
            <w:vAlign w:val="center"/>
          </w:tcPr>
          <w:p w14:paraId="7C4EB382">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p>
        </w:tc>
        <w:tc>
          <w:tcPr>
            <w:tcW w:w="1327" w:type="dxa"/>
            <w:tcBorders>
              <w:top w:val="single" w:color="auto" w:sz="4" w:space="0"/>
              <w:left w:val="single" w:color="auto" w:sz="4" w:space="0"/>
              <w:bottom w:val="single" w:color="auto" w:sz="4" w:space="0"/>
              <w:right w:val="single" w:color="auto" w:sz="4" w:space="0"/>
            </w:tcBorders>
            <w:vAlign w:val="center"/>
          </w:tcPr>
          <w:p w14:paraId="5C4F432A">
            <w:pPr>
              <w:keepNext w:val="0"/>
              <w:keepLines w:val="0"/>
              <w:suppressLineNumbers w:val="0"/>
              <w:autoSpaceDE w:val="0"/>
              <w:autoSpaceDN w:val="0"/>
              <w:adjustRightInd w:val="0"/>
              <w:spacing w:before="0" w:beforeAutospacing="0" w:after="0" w:afterAutospacing="0"/>
              <w:ind w:left="0" w:right="0"/>
              <w:jc w:val="left"/>
              <w:rPr>
                <w:rFonts w:hint="default"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3FD1D91D">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1E8E8359">
            <w:pPr>
              <w:keepNext w:val="0"/>
              <w:keepLines w:val="0"/>
              <w:suppressLineNumbers w:val="0"/>
              <w:autoSpaceDE w:val="0"/>
              <w:autoSpaceDN w:val="0"/>
              <w:adjustRightInd w:val="0"/>
              <w:spacing w:before="0" w:beforeAutospacing="0" w:after="0" w:afterAutospacing="0"/>
              <w:ind w:left="0" w:right="0"/>
              <w:jc w:val="center"/>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69FCE7F3">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r>
      <w:tr w14:paraId="6235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510" w:type="dxa"/>
            <w:tcBorders>
              <w:top w:val="single" w:color="auto" w:sz="4" w:space="0"/>
              <w:left w:val="single" w:color="auto" w:sz="4" w:space="0"/>
              <w:bottom w:val="single" w:color="auto" w:sz="4" w:space="0"/>
              <w:right w:val="single" w:color="auto" w:sz="4" w:space="0"/>
            </w:tcBorders>
            <w:vAlign w:val="center"/>
          </w:tcPr>
          <w:p w14:paraId="41959B7E">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p>
        </w:tc>
        <w:tc>
          <w:tcPr>
            <w:tcW w:w="1693" w:type="dxa"/>
            <w:tcBorders>
              <w:top w:val="single" w:color="auto" w:sz="4" w:space="0"/>
              <w:left w:val="single" w:color="auto" w:sz="4" w:space="0"/>
              <w:bottom w:val="single" w:color="auto" w:sz="4" w:space="0"/>
              <w:right w:val="single" w:color="auto" w:sz="4" w:space="0"/>
            </w:tcBorders>
            <w:vAlign w:val="center"/>
          </w:tcPr>
          <w:p w14:paraId="3E111153">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p>
        </w:tc>
        <w:tc>
          <w:tcPr>
            <w:tcW w:w="1327" w:type="dxa"/>
            <w:tcBorders>
              <w:top w:val="single" w:color="auto" w:sz="4" w:space="0"/>
              <w:left w:val="single" w:color="auto" w:sz="4" w:space="0"/>
              <w:bottom w:val="single" w:color="auto" w:sz="4" w:space="0"/>
              <w:right w:val="single" w:color="auto" w:sz="4" w:space="0"/>
            </w:tcBorders>
            <w:vAlign w:val="center"/>
          </w:tcPr>
          <w:p w14:paraId="0C8797BD">
            <w:pPr>
              <w:keepNext w:val="0"/>
              <w:keepLines w:val="0"/>
              <w:suppressLineNumbers w:val="0"/>
              <w:autoSpaceDE w:val="0"/>
              <w:autoSpaceDN w:val="0"/>
              <w:adjustRightInd w:val="0"/>
              <w:spacing w:before="0" w:beforeAutospacing="0" w:after="0" w:afterAutospacing="0"/>
              <w:ind w:left="0" w:right="0"/>
              <w:jc w:val="left"/>
              <w:rPr>
                <w:rFonts w:hint="default"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3203D14D">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414E96CD">
            <w:pPr>
              <w:keepNext w:val="0"/>
              <w:keepLines w:val="0"/>
              <w:suppressLineNumbers w:val="0"/>
              <w:autoSpaceDE w:val="0"/>
              <w:autoSpaceDN w:val="0"/>
              <w:adjustRightInd w:val="0"/>
              <w:spacing w:before="0" w:beforeAutospacing="0" w:after="0" w:afterAutospacing="0"/>
              <w:ind w:left="0" w:right="0"/>
              <w:jc w:val="center"/>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1EF0FAA1">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r>
      <w:tr w14:paraId="5CB4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510" w:type="dxa"/>
            <w:tcBorders>
              <w:top w:val="single" w:color="auto" w:sz="4" w:space="0"/>
              <w:left w:val="single" w:color="auto" w:sz="4" w:space="0"/>
              <w:bottom w:val="single" w:color="auto" w:sz="4" w:space="0"/>
              <w:right w:val="single" w:color="auto" w:sz="4" w:space="0"/>
            </w:tcBorders>
            <w:vAlign w:val="center"/>
          </w:tcPr>
          <w:p w14:paraId="522DF550">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p>
        </w:tc>
        <w:tc>
          <w:tcPr>
            <w:tcW w:w="1693" w:type="dxa"/>
            <w:tcBorders>
              <w:top w:val="single" w:color="auto" w:sz="4" w:space="0"/>
              <w:left w:val="single" w:color="auto" w:sz="4" w:space="0"/>
              <w:bottom w:val="single" w:color="auto" w:sz="4" w:space="0"/>
              <w:right w:val="single" w:color="auto" w:sz="4" w:space="0"/>
            </w:tcBorders>
            <w:vAlign w:val="center"/>
          </w:tcPr>
          <w:p w14:paraId="3E54C65A">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p>
        </w:tc>
        <w:tc>
          <w:tcPr>
            <w:tcW w:w="1327" w:type="dxa"/>
            <w:tcBorders>
              <w:top w:val="single" w:color="auto" w:sz="4" w:space="0"/>
              <w:left w:val="single" w:color="auto" w:sz="4" w:space="0"/>
              <w:bottom w:val="single" w:color="auto" w:sz="4" w:space="0"/>
              <w:right w:val="single" w:color="auto" w:sz="4" w:space="0"/>
            </w:tcBorders>
            <w:vAlign w:val="center"/>
          </w:tcPr>
          <w:p w14:paraId="58FA917A">
            <w:pPr>
              <w:keepNext w:val="0"/>
              <w:keepLines w:val="0"/>
              <w:suppressLineNumbers w:val="0"/>
              <w:autoSpaceDE w:val="0"/>
              <w:autoSpaceDN w:val="0"/>
              <w:adjustRightInd w:val="0"/>
              <w:spacing w:before="0" w:beforeAutospacing="0" w:after="0" w:afterAutospacing="0"/>
              <w:ind w:left="0" w:right="0"/>
              <w:jc w:val="left"/>
              <w:rPr>
                <w:rFonts w:hint="default"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0CF6436D">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5C30D5B3">
            <w:pPr>
              <w:keepNext w:val="0"/>
              <w:keepLines w:val="0"/>
              <w:suppressLineNumbers w:val="0"/>
              <w:autoSpaceDE w:val="0"/>
              <w:autoSpaceDN w:val="0"/>
              <w:adjustRightInd w:val="0"/>
              <w:spacing w:before="0" w:beforeAutospacing="0" w:after="0" w:afterAutospacing="0"/>
              <w:ind w:left="0" w:right="0"/>
              <w:jc w:val="center"/>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1D866FC3">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r>
      <w:tr w14:paraId="7C68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510" w:type="dxa"/>
            <w:tcBorders>
              <w:top w:val="single" w:color="auto" w:sz="4" w:space="0"/>
              <w:left w:val="single" w:color="auto" w:sz="4" w:space="0"/>
              <w:bottom w:val="single" w:color="auto" w:sz="4" w:space="0"/>
              <w:right w:val="single" w:color="auto" w:sz="4" w:space="0"/>
            </w:tcBorders>
            <w:vAlign w:val="center"/>
          </w:tcPr>
          <w:p w14:paraId="7D7B727B">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kern w:val="0"/>
                <w:sz w:val="24"/>
                <w:highlight w:val="none"/>
              </w:rPr>
            </w:pPr>
          </w:p>
        </w:tc>
        <w:tc>
          <w:tcPr>
            <w:tcW w:w="1693" w:type="dxa"/>
            <w:tcBorders>
              <w:top w:val="single" w:color="auto" w:sz="4" w:space="0"/>
              <w:left w:val="single" w:color="auto" w:sz="4" w:space="0"/>
              <w:bottom w:val="single" w:color="auto" w:sz="4" w:space="0"/>
              <w:right w:val="single" w:color="auto" w:sz="4" w:space="0"/>
            </w:tcBorders>
            <w:vAlign w:val="center"/>
          </w:tcPr>
          <w:p w14:paraId="58FA8387">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highlight w:val="none"/>
              </w:rPr>
            </w:pPr>
          </w:p>
        </w:tc>
        <w:tc>
          <w:tcPr>
            <w:tcW w:w="1327" w:type="dxa"/>
            <w:tcBorders>
              <w:top w:val="single" w:color="auto" w:sz="4" w:space="0"/>
              <w:left w:val="single" w:color="auto" w:sz="4" w:space="0"/>
              <w:bottom w:val="single" w:color="auto" w:sz="4" w:space="0"/>
              <w:right w:val="single" w:color="auto" w:sz="4" w:space="0"/>
            </w:tcBorders>
            <w:vAlign w:val="center"/>
          </w:tcPr>
          <w:p w14:paraId="519241C7">
            <w:pPr>
              <w:keepNext w:val="0"/>
              <w:keepLines w:val="0"/>
              <w:suppressLineNumbers w:val="0"/>
              <w:autoSpaceDE w:val="0"/>
              <w:autoSpaceDN w:val="0"/>
              <w:adjustRightInd w:val="0"/>
              <w:spacing w:before="0" w:beforeAutospacing="0" w:after="0" w:afterAutospacing="0"/>
              <w:ind w:left="0" w:right="0"/>
              <w:jc w:val="left"/>
              <w:rPr>
                <w:rFonts w:hint="default"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28DE3F8B">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53980FDC">
            <w:pPr>
              <w:keepNext w:val="0"/>
              <w:keepLines w:val="0"/>
              <w:suppressLineNumbers w:val="0"/>
              <w:autoSpaceDE w:val="0"/>
              <w:autoSpaceDN w:val="0"/>
              <w:adjustRightInd w:val="0"/>
              <w:spacing w:before="0" w:beforeAutospacing="0" w:after="0" w:afterAutospacing="0"/>
              <w:ind w:left="0" w:right="0"/>
              <w:jc w:val="center"/>
              <w:rPr>
                <w:rFonts w:hint="eastAsia" w:ascii="宋体" w:hAnsi="Times New Roman" w:eastAsia="宋体" w:cs="Times New Roman"/>
                <w:color w:val="000000"/>
                <w:kern w:val="0"/>
                <w:sz w:val="24"/>
                <w:highlight w:val="none"/>
              </w:rPr>
            </w:pPr>
          </w:p>
        </w:tc>
        <w:tc>
          <w:tcPr>
            <w:tcW w:w="1510" w:type="dxa"/>
            <w:tcBorders>
              <w:top w:val="single" w:color="auto" w:sz="4" w:space="0"/>
              <w:left w:val="single" w:color="auto" w:sz="4" w:space="0"/>
              <w:bottom w:val="single" w:color="auto" w:sz="4" w:space="0"/>
              <w:right w:val="single" w:color="auto" w:sz="4" w:space="0"/>
            </w:tcBorders>
            <w:vAlign w:val="center"/>
          </w:tcPr>
          <w:p w14:paraId="279E6688">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p>
        </w:tc>
      </w:tr>
      <w:tr w14:paraId="36D3A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6040" w:type="dxa"/>
            <w:gridSpan w:val="4"/>
            <w:tcBorders>
              <w:top w:val="single" w:color="auto" w:sz="4" w:space="0"/>
              <w:left w:val="single" w:color="auto" w:sz="4" w:space="0"/>
              <w:bottom w:val="single" w:color="auto" w:sz="4" w:space="0"/>
              <w:right w:val="single" w:color="auto" w:sz="4" w:space="0"/>
            </w:tcBorders>
            <w:vAlign w:val="center"/>
          </w:tcPr>
          <w:p w14:paraId="459F0258">
            <w:pPr>
              <w:keepNext w:val="0"/>
              <w:keepLines w:val="0"/>
              <w:suppressLineNumbers w:val="0"/>
              <w:autoSpaceDE w:val="0"/>
              <w:autoSpaceDN w:val="0"/>
              <w:adjustRightInd w:val="0"/>
              <w:spacing w:before="0" w:beforeAutospacing="0" w:after="0" w:afterAutospacing="0"/>
              <w:ind w:left="0" w:right="0"/>
              <w:jc w:val="center"/>
              <w:rPr>
                <w:rFonts w:hint="eastAsia" w:ascii="宋体" w:hAnsi="Times New Roman" w:eastAsia="宋体" w:cs="Times New Roman"/>
                <w:color w:val="000000"/>
                <w:kern w:val="0"/>
                <w:sz w:val="24"/>
                <w:highlight w:val="none"/>
              </w:rPr>
            </w:pPr>
            <w:r>
              <w:rPr>
                <w:rFonts w:hint="eastAsia" w:ascii="宋体" w:hAnsi="宋体" w:eastAsia="宋体" w:cs="Times New Roman"/>
                <w:color w:val="000000"/>
                <w:kern w:val="0"/>
                <w:sz w:val="24"/>
                <w:highlight w:val="none"/>
              </w:rPr>
              <w:t>总价</w:t>
            </w:r>
          </w:p>
        </w:tc>
        <w:tc>
          <w:tcPr>
            <w:tcW w:w="3020" w:type="dxa"/>
            <w:gridSpan w:val="2"/>
            <w:tcBorders>
              <w:top w:val="single" w:color="auto" w:sz="4" w:space="0"/>
              <w:left w:val="single" w:color="auto" w:sz="4" w:space="0"/>
              <w:bottom w:val="single" w:color="auto" w:sz="4" w:space="0"/>
              <w:right w:val="single" w:color="auto" w:sz="4" w:space="0"/>
            </w:tcBorders>
            <w:vAlign w:val="center"/>
          </w:tcPr>
          <w:p w14:paraId="591E81B8">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r>
              <w:rPr>
                <w:rFonts w:hint="eastAsia" w:ascii="宋体" w:hAnsi="宋体" w:eastAsia="宋体" w:cs="Times New Roman"/>
                <w:color w:val="000000"/>
                <w:kern w:val="0"/>
                <w:sz w:val="24"/>
                <w:highlight w:val="none"/>
              </w:rPr>
              <w:t>人名币：元</w:t>
            </w:r>
          </w:p>
          <w:p w14:paraId="21663ABD">
            <w:pPr>
              <w:keepNext w:val="0"/>
              <w:keepLines w:val="0"/>
              <w:suppressLineNumbers w:val="0"/>
              <w:autoSpaceDE w:val="0"/>
              <w:autoSpaceDN w:val="0"/>
              <w:adjustRightInd w:val="0"/>
              <w:spacing w:before="0" w:beforeAutospacing="0" w:after="0" w:afterAutospacing="0"/>
              <w:ind w:left="0" w:right="0"/>
              <w:jc w:val="left"/>
              <w:rPr>
                <w:rFonts w:hint="eastAsia" w:ascii="宋体" w:hAnsi="Times New Roman" w:eastAsia="宋体" w:cs="Times New Roman"/>
                <w:color w:val="000000"/>
                <w:kern w:val="0"/>
                <w:sz w:val="24"/>
                <w:highlight w:val="none"/>
              </w:rPr>
            </w:pPr>
            <w:r>
              <w:rPr>
                <w:rFonts w:hint="eastAsia" w:ascii="宋体" w:hAnsi="宋体" w:eastAsia="宋体" w:cs="Times New Roman"/>
                <w:color w:val="000000"/>
                <w:kern w:val="0"/>
                <w:sz w:val="24"/>
                <w:highlight w:val="none"/>
              </w:rPr>
              <w:t>大写：</w:t>
            </w:r>
          </w:p>
        </w:tc>
      </w:tr>
    </w:tbl>
    <w:p w14:paraId="1A9C9D57">
      <w:pPr>
        <w:autoSpaceDE w:val="0"/>
        <w:autoSpaceDN w:val="0"/>
        <w:adjustRightInd w:val="0"/>
        <w:jc w:val="left"/>
        <w:rPr>
          <w:rFonts w:hint="eastAsia" w:ascii="宋体" w:hAnsi="Times New Roman" w:eastAsia="宋体" w:cs="Times New Roman"/>
          <w:color w:val="000000"/>
          <w:kern w:val="0"/>
          <w:sz w:val="24"/>
          <w:highlight w:val="none"/>
          <w:lang w:eastAsia="zh-CN"/>
        </w:rPr>
      </w:pPr>
    </w:p>
    <w:p w14:paraId="3B72BD8D">
      <w:pPr>
        <w:spacing w:line="360" w:lineRule="auto"/>
        <w:jc w:val="left"/>
        <w:rPr>
          <w:rFonts w:hint="eastAsia" w:ascii="Times New Roman" w:hAnsi="Times New Roman" w:eastAsia="宋体" w:cs="Times New Roman"/>
          <w:kern w:val="0"/>
          <w:sz w:val="24"/>
          <w:highlight w:val="none"/>
        </w:rPr>
      </w:pPr>
      <w:r>
        <w:rPr>
          <w:rFonts w:hint="eastAsia" w:ascii="Times New Roman" w:hAnsi="Times New Roman" w:eastAsia="宋体" w:cs="Times New Roman"/>
          <w:kern w:val="0"/>
          <w:sz w:val="24"/>
          <w:highlight w:val="none"/>
        </w:rPr>
        <w:t>1.</w:t>
      </w:r>
      <w:r>
        <w:rPr>
          <w:rFonts w:hint="eastAsia" w:ascii="宋体" w:hAnsi="宋体" w:eastAsia="宋体" w:cs="Times New Roman"/>
          <w:kern w:val="0"/>
          <w:sz w:val="24"/>
          <w:highlight w:val="none"/>
        </w:rPr>
        <w:t>以上报价总价应与“报价一览表”相一致</w:t>
      </w:r>
      <w:r>
        <w:rPr>
          <w:rFonts w:hint="eastAsia" w:ascii="宋体" w:hAnsi="宋体" w:eastAsia="宋体" w:cs="Times New Roman"/>
          <w:kern w:val="0"/>
          <w:sz w:val="24"/>
          <w:highlight w:val="none"/>
          <w:lang w:eastAsia="zh-CN"/>
        </w:rPr>
        <w:t>，</w:t>
      </w:r>
      <w:r>
        <w:rPr>
          <w:rFonts w:hint="eastAsia" w:ascii="宋体" w:hAnsi="宋体" w:eastAsia="宋体" w:cs="Times New Roman"/>
          <w:kern w:val="0"/>
          <w:sz w:val="24"/>
          <w:highlight w:val="none"/>
          <w:lang w:val="en-US" w:eastAsia="zh-CN"/>
        </w:rPr>
        <w:t>不一致的，以报价明细表中单价计算金额为准；报价明细表中报价保留小数点后两位。报价大写与小写不一致的，以大写为准。</w:t>
      </w:r>
      <w:r>
        <w:rPr>
          <w:rFonts w:hint="eastAsia" w:ascii="宋体" w:hAnsi="宋体" w:eastAsia="宋体" w:cs="Times New Roman"/>
          <w:kern w:val="0"/>
          <w:sz w:val="24"/>
          <w:highlight w:val="none"/>
        </w:rPr>
        <w:t>（最终份数按实际结算为准）。</w:t>
      </w:r>
    </w:p>
    <w:p w14:paraId="76F90E29">
      <w:pPr>
        <w:spacing w:line="360" w:lineRule="auto"/>
        <w:jc w:val="left"/>
        <w:rPr>
          <w:rFonts w:hint="eastAsia" w:ascii="Times New Roman" w:hAnsi="Times New Roman" w:eastAsia="宋体" w:cs="Times New Roman"/>
          <w:kern w:val="0"/>
          <w:sz w:val="24"/>
          <w:highlight w:val="none"/>
        </w:rPr>
      </w:pPr>
      <w:r>
        <w:rPr>
          <w:rFonts w:hint="eastAsia" w:ascii="Times New Roman" w:hAnsi="Times New Roman" w:eastAsia="宋体" w:cs="Times New Roman"/>
          <w:kern w:val="0"/>
          <w:sz w:val="24"/>
          <w:highlight w:val="none"/>
        </w:rPr>
        <w:t>2.</w:t>
      </w:r>
      <w:r>
        <w:rPr>
          <w:rFonts w:ascii="宋体" w:hAnsi="宋体" w:eastAsia="宋体" w:cs="Times New Roman"/>
          <w:kern w:val="0"/>
          <w:sz w:val="24"/>
          <w:highlight w:val="none"/>
        </w:rPr>
        <w:t>报价一经涂改，应在涂改处加盖</w:t>
      </w:r>
      <w:r>
        <w:rPr>
          <w:rFonts w:hint="eastAsia" w:ascii="宋体" w:hAnsi="宋体" w:eastAsia="宋体" w:cs="Times New Roman"/>
          <w:kern w:val="0"/>
          <w:sz w:val="24"/>
          <w:highlight w:val="none"/>
        </w:rPr>
        <w:t>供应商</w:t>
      </w:r>
      <w:r>
        <w:rPr>
          <w:rFonts w:ascii="宋体" w:hAnsi="宋体" w:eastAsia="宋体" w:cs="Times New Roman"/>
          <w:kern w:val="0"/>
          <w:sz w:val="24"/>
          <w:highlight w:val="none"/>
        </w:rPr>
        <w:t>公章</w:t>
      </w:r>
      <w:r>
        <w:rPr>
          <w:rFonts w:hint="eastAsia" w:ascii="宋体" w:hAnsi="宋体" w:eastAsia="宋体" w:cs="Times New Roman"/>
          <w:kern w:val="0"/>
          <w:sz w:val="24"/>
          <w:highlight w:val="none"/>
        </w:rPr>
        <w:t>并</w:t>
      </w:r>
      <w:r>
        <w:rPr>
          <w:rFonts w:ascii="宋体" w:hAnsi="宋体" w:eastAsia="宋体" w:cs="Times New Roman"/>
          <w:kern w:val="0"/>
          <w:sz w:val="24"/>
          <w:highlight w:val="none"/>
        </w:rPr>
        <w:t>由法定代表人或</w:t>
      </w:r>
      <w:r>
        <w:rPr>
          <w:rFonts w:hint="eastAsia" w:ascii="宋体" w:hAnsi="宋体" w:eastAsia="宋体" w:cs="Times New Roman"/>
          <w:kern w:val="0"/>
          <w:sz w:val="24"/>
          <w:highlight w:val="none"/>
        </w:rPr>
        <w:t>授权委托人</w:t>
      </w:r>
      <w:r>
        <w:rPr>
          <w:rFonts w:ascii="宋体" w:hAnsi="宋体" w:eastAsia="宋体" w:cs="Times New Roman"/>
          <w:kern w:val="0"/>
          <w:sz w:val="24"/>
          <w:highlight w:val="none"/>
        </w:rPr>
        <w:t>签字，否则其投标作无效处理。</w:t>
      </w:r>
    </w:p>
    <w:p w14:paraId="5FCF861B">
      <w:pPr>
        <w:spacing w:line="360" w:lineRule="auto"/>
        <w:rPr>
          <w:rFonts w:hint="eastAsia" w:ascii="Times New Roman" w:hAnsi="Times New Roman" w:eastAsia="宋体" w:cs="Times New Roman"/>
          <w:sz w:val="24"/>
          <w:highlight w:val="none"/>
          <w:lang w:eastAsia="zh-CN"/>
        </w:rPr>
      </w:pPr>
    </w:p>
    <w:p w14:paraId="59234F83">
      <w:pPr>
        <w:spacing w:line="360" w:lineRule="auto"/>
        <w:rPr>
          <w:rFonts w:ascii="Times New Roman" w:hAnsi="Times New Roman" w:eastAsia="宋体" w:cs="Times New Roman"/>
          <w:sz w:val="24"/>
          <w:highlight w:val="none"/>
        </w:rPr>
      </w:pPr>
      <w:r>
        <w:rPr>
          <w:rFonts w:hint="eastAsia" w:ascii="宋体" w:hAnsi="宋体" w:eastAsia="宋体" w:cs="Times New Roman"/>
          <w:sz w:val="24"/>
          <w:highlight w:val="none"/>
        </w:rPr>
        <w:t>法定代表人或授权委托人签字：</w:t>
      </w:r>
    </w:p>
    <w:p w14:paraId="48403A5B">
      <w:pPr>
        <w:spacing w:line="360" w:lineRule="auto"/>
        <w:rPr>
          <w:rFonts w:hint="eastAsia" w:ascii="Times New Roman" w:hAnsi="Times New Roman" w:eastAsia="宋体" w:cs="Times New Roman"/>
          <w:sz w:val="24"/>
          <w:highlight w:val="none"/>
          <w:lang w:eastAsia="zh-CN"/>
        </w:rPr>
      </w:pPr>
    </w:p>
    <w:p w14:paraId="27764107">
      <w:pPr>
        <w:spacing w:line="360" w:lineRule="auto"/>
        <w:rPr>
          <w:rFonts w:ascii="Times New Roman" w:hAnsi="Times New Roman" w:eastAsia="宋体" w:cs="Times New Roman"/>
          <w:sz w:val="24"/>
          <w:highlight w:val="none"/>
        </w:rPr>
      </w:pPr>
      <w:r>
        <w:rPr>
          <w:rFonts w:hint="eastAsia" w:ascii="宋体" w:hAnsi="宋体" w:eastAsia="宋体" w:cs="Times New Roman"/>
          <w:sz w:val="24"/>
          <w:highlight w:val="none"/>
        </w:rPr>
        <w:t>供应商全称公章：</w:t>
      </w:r>
    </w:p>
    <w:p w14:paraId="3A5EF395">
      <w:pPr>
        <w:spacing w:line="360" w:lineRule="auto"/>
        <w:ind w:firstLine="360" w:firstLineChars="200"/>
        <w:rPr>
          <w:rFonts w:hint="eastAsia" w:ascii="Times New Roman" w:hAnsi="Times New Roman" w:eastAsia="宋体" w:cs="Times New Roman"/>
          <w:sz w:val="18"/>
          <w:szCs w:val="18"/>
          <w:highlight w:val="none"/>
          <w:lang w:eastAsia="zh-CN"/>
        </w:rPr>
      </w:pPr>
    </w:p>
    <w:p w14:paraId="4FDECA54">
      <w:pPr>
        <w:spacing w:line="360" w:lineRule="auto"/>
        <w:rPr>
          <w:rFonts w:ascii="Times New Roman" w:hAnsi="Times New Roman" w:eastAsia="宋体" w:cs="Times New Roman"/>
          <w:sz w:val="24"/>
          <w:highlight w:val="none"/>
        </w:rPr>
      </w:pPr>
      <w:r>
        <w:rPr>
          <w:rFonts w:hint="eastAsia" w:ascii="宋体" w:hAnsi="宋体" w:eastAsia="宋体" w:cs="Times New Roman"/>
          <w:sz w:val="24"/>
          <w:highlight w:val="none"/>
        </w:rPr>
        <w:t>日期</w:t>
      </w:r>
      <w:r>
        <w:rPr>
          <w:rFonts w:ascii="宋体" w:hAnsi="宋体" w:eastAsia="宋体" w:cs="Times New Roman"/>
          <w:sz w:val="24"/>
          <w:highlight w:val="none"/>
        </w:rPr>
        <w:t>：</w:t>
      </w:r>
      <w:r>
        <w:rPr>
          <w:rFonts w:hint="eastAsia" w:ascii="宋体" w:hAnsi="宋体" w:eastAsia="宋体" w:cs="Times New Roman"/>
          <w:sz w:val="24"/>
          <w:highlight w:val="none"/>
        </w:rPr>
        <w:t>年月日</w:t>
      </w:r>
    </w:p>
    <w:p w14:paraId="7783F5C2">
      <w:pPr>
        <w:pStyle w:val="20"/>
        <w:ind w:firstLine="0" w:firstLineChars="0"/>
        <w:rPr>
          <w:rFonts w:hint="default" w:ascii="仿宋" w:hAnsi="仿宋" w:eastAsia="仿宋" w:cs="仿宋"/>
          <w:b/>
          <w:sz w:val="30"/>
          <w:szCs w:val="30"/>
          <w:highlight w:val="none"/>
        </w:rPr>
      </w:pPr>
    </w:p>
    <w:p w14:paraId="230115AF">
      <w:pPr>
        <w:pStyle w:val="20"/>
        <w:ind w:firstLine="0" w:firstLineChars="0"/>
        <w:rPr>
          <w:rFonts w:hint="default" w:ascii="仿宋" w:hAnsi="仿宋" w:eastAsia="仿宋" w:cs="仿宋"/>
          <w:b/>
          <w:sz w:val="30"/>
          <w:szCs w:val="30"/>
          <w:highlight w:val="none"/>
        </w:rPr>
      </w:pPr>
    </w:p>
    <w:p w14:paraId="55623014">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rPr>
        <w:t>四</w:t>
      </w:r>
      <w:r>
        <w:rPr>
          <w:rFonts w:ascii="仿宋" w:hAnsi="仿宋" w:eastAsia="仿宋" w:cs="仿宋"/>
          <w:b/>
          <w:sz w:val="30"/>
          <w:szCs w:val="30"/>
          <w:highlight w:val="none"/>
        </w:rPr>
        <w:t>、其他供应商认为有需要提交的资料</w:t>
      </w:r>
    </w:p>
    <w:p w14:paraId="090534EE">
      <w:pPr>
        <w:rPr>
          <w:highlight w:val="none"/>
        </w:rPr>
      </w:pPr>
    </w:p>
    <w:p w14:paraId="73358E85">
      <w:pPr>
        <w:rPr>
          <w:rFonts w:ascii="仿宋" w:hAnsi="仿宋" w:eastAsia="仿宋" w:cs="仿宋"/>
          <w:b/>
          <w:sz w:val="44"/>
          <w:szCs w:val="44"/>
          <w:highlight w:val="none"/>
        </w:rPr>
      </w:pPr>
      <w:r>
        <w:rPr>
          <w:rFonts w:ascii="仿宋" w:hAnsi="仿宋" w:eastAsia="仿宋" w:cs="仿宋"/>
          <w:b/>
          <w:sz w:val="44"/>
          <w:szCs w:val="44"/>
          <w:highlight w:val="none"/>
        </w:rPr>
        <w:br w:type="page"/>
      </w:r>
    </w:p>
    <w:p w14:paraId="35826173">
      <w:pPr>
        <w:pStyle w:val="9"/>
        <w:rPr>
          <w:rFonts w:hint="eastAsia"/>
          <w:lang w:val="en-US" w:eastAsia="zh-CN"/>
        </w:rPr>
      </w:pPr>
      <w:r>
        <w:rPr>
          <w:rFonts w:hint="eastAsia"/>
          <w:lang w:val="en-US" w:eastAsia="zh-CN"/>
        </w:rPr>
        <w:t>附件4：合同模版</w:t>
      </w:r>
    </w:p>
    <w:p w14:paraId="1E3EC301">
      <w:pPr>
        <w:ind w:firstLine="482"/>
        <w:rPr>
          <w:rFonts w:hint="eastAsia"/>
        </w:rPr>
      </w:pPr>
      <w:r>
        <w:rPr>
          <w:rFonts w:hint="eastAsia"/>
          <w:b/>
          <w:bCs/>
          <w:color w:val="FF0000"/>
        </w:rPr>
        <w:t>本合同模板旨在为采购人提供基础的合同内容及合同框架，仅供参考使用。采购人应结合采购项目实际，修订模板或另立合同签订，具体的合同内容应</w:t>
      </w:r>
      <w:r>
        <w:rPr>
          <w:rFonts w:hint="eastAsia"/>
          <w:b/>
          <w:bCs/>
          <w:color w:val="FF0000"/>
          <w:lang w:val="en-US" w:eastAsia="zh-CN"/>
        </w:rPr>
        <w:t>严格按照招标文件以</w:t>
      </w:r>
      <w:r>
        <w:rPr>
          <w:rFonts w:hint="eastAsia"/>
          <w:b/>
          <w:bCs/>
          <w:color w:val="FF0000"/>
        </w:rPr>
        <w:t>最终实际签订的合同为准！！！</w:t>
      </w:r>
    </w:p>
    <w:p w14:paraId="3488FE79">
      <w:pPr>
        <w:ind w:firstLine="0" w:firstLineChars="0"/>
        <w:rPr>
          <w:rFonts w:hint="eastAsia" w:ascii="黑体" w:hAnsi="黑体" w:eastAsia="黑体" w:cs="黑体"/>
        </w:rPr>
      </w:pPr>
      <w:r>
        <w:rPr>
          <w:rFonts w:hint="eastAsia" w:ascii="黑体" w:hAnsi="黑体" w:eastAsia="黑体" w:cs="黑体"/>
        </w:rPr>
        <w:t>合同编号：</w:t>
      </w:r>
    </w:p>
    <w:p w14:paraId="6C1A2683">
      <w:pPr>
        <w:snapToGrid w:val="0"/>
        <w:spacing w:line="240" w:lineRule="auto"/>
        <w:ind w:firstLine="643"/>
        <w:jc w:val="center"/>
        <w:outlineLvl w:val="0"/>
        <w:rPr>
          <w:rFonts w:hint="eastAsia" w:ascii="方正仿宋_GB2312" w:hAnsi="方正仿宋_GB2312" w:cs="方正仿宋_GB2312"/>
          <w:b/>
          <w:sz w:val="32"/>
          <w:szCs w:val="32"/>
        </w:rPr>
      </w:pPr>
      <w:r>
        <w:rPr>
          <w:rFonts w:hint="eastAsia" w:ascii="方正仿宋_GB2312" w:hAnsi="方正仿宋_GB2312" w:cs="方正仿宋_GB2312"/>
          <w:b/>
          <w:sz w:val="32"/>
          <w:szCs w:val="32"/>
        </w:rPr>
        <w:t>湖州学院XXX采购项目合同（货物类）</w:t>
      </w:r>
    </w:p>
    <w:p w14:paraId="5A4C6C4C">
      <w:pPr>
        <w:pStyle w:val="9"/>
        <w:snapToGrid w:val="0"/>
        <w:spacing w:before="0" w:beforeLines="0" w:after="0" w:afterLines="0" w:line="440" w:lineRule="exact"/>
        <w:ind w:firstLine="480"/>
        <w:rPr>
          <w:rFonts w:hint="eastAsia" w:ascii="仿宋" w:hAnsi="仿宋" w:eastAsia="仿宋" w:cs="仿宋"/>
        </w:rPr>
      </w:pPr>
    </w:p>
    <w:p w14:paraId="7797CA27">
      <w:pPr>
        <w:spacing w:line="480" w:lineRule="exact"/>
        <w:ind w:firstLine="482" w:firstLineChars="200"/>
        <w:rPr>
          <w:rFonts w:hint="eastAsia" w:ascii="仿宋_GB2312" w:hAnsi="宋体" w:eastAsia="仿宋_GB2312"/>
          <w:b/>
          <w:bCs/>
          <w:color w:val="000000"/>
          <w:sz w:val="24"/>
          <w:szCs w:val="24"/>
        </w:rPr>
      </w:pPr>
      <w:bookmarkStart w:id="2" w:name="OLE_LINK1"/>
      <w:r>
        <w:rPr>
          <w:rFonts w:hint="eastAsia" w:ascii="仿宋_GB2312" w:hAnsi="宋体" w:eastAsia="仿宋_GB2312"/>
          <w:b/>
          <w:bCs/>
          <w:color w:val="000000"/>
          <w:sz w:val="24"/>
          <w:szCs w:val="24"/>
        </w:rPr>
        <w:t>需方：湖州学院（下称“甲方”）</w:t>
      </w:r>
    </w:p>
    <w:p w14:paraId="18A88AE2">
      <w:pPr>
        <w:spacing w:line="480" w:lineRule="exact"/>
        <w:ind w:firstLine="482" w:firstLineChars="200"/>
        <w:rPr>
          <w:rFonts w:hint="eastAsia" w:ascii="仿宋_GB2312" w:hAnsi="宋体" w:eastAsia="仿宋_GB2312"/>
          <w:color w:val="FF0000"/>
          <w:sz w:val="24"/>
          <w:szCs w:val="24"/>
        </w:rPr>
      </w:pPr>
      <w:r>
        <w:rPr>
          <w:rFonts w:hint="eastAsia" w:ascii="仿宋_GB2312" w:hAnsi="宋体" w:eastAsia="仿宋_GB2312"/>
          <w:b/>
          <w:bCs/>
          <w:color w:val="000000"/>
          <w:sz w:val="24"/>
          <w:szCs w:val="24"/>
        </w:rPr>
        <w:t>供方：【】（下称“乙方”）</w:t>
      </w:r>
    </w:p>
    <w:p w14:paraId="015E9A75">
      <w:pPr>
        <w:ind w:firstLine="480"/>
        <w:rPr>
          <w:rFonts w:hint="eastAsia" w:ascii="仿宋_GB2312" w:hAnsi="宋体" w:eastAsia="仿宋_GB2312"/>
        </w:rPr>
      </w:pPr>
    </w:p>
    <w:bookmarkEnd w:id="2"/>
    <w:p w14:paraId="6D61EDB3">
      <w:pPr>
        <w:bidi w:val="0"/>
        <w:rPr>
          <w:rFonts w:hint="eastAsia"/>
        </w:rPr>
      </w:pPr>
      <w:r>
        <w:rPr>
          <w:rFonts w:hint="eastAsia"/>
        </w:rPr>
        <w:t>根据甲方《湖州学院【   】采购项目》（项目编号：【   】采购文件要求和乙方的投标（含响应，下同）文件及承诺，甲、乙双方按照平等互利、诚实信用的原则，经友好协商共同确定以下合同条款。</w:t>
      </w:r>
    </w:p>
    <w:p w14:paraId="3CEF73DA">
      <w:pPr>
        <w:bidi w:val="0"/>
        <w:rPr>
          <w:rFonts w:hint="eastAsia"/>
          <w:b/>
          <w:bCs/>
        </w:rPr>
      </w:pPr>
      <w:r>
        <w:rPr>
          <w:rFonts w:hint="eastAsia"/>
          <w:b/>
          <w:bCs/>
        </w:rPr>
        <w:t>一、货物清单及总价款（货物名称、品牌型号、数量及单位、单价等详见下表）</w:t>
      </w:r>
    </w:p>
    <w:p w14:paraId="68565D4E">
      <w:pPr>
        <w:ind w:firstLine="480"/>
        <w:rPr>
          <w:rFonts w:hint="eastAsia"/>
        </w:rPr>
      </w:pPr>
      <w:r>
        <w:rPr>
          <w:rFonts w:hint="eastAsia"/>
        </w:rPr>
        <w:t>（一）项目名称：湖州学院【   】采购项目，</w:t>
      </w:r>
    </w:p>
    <w:p w14:paraId="08788034">
      <w:pPr>
        <w:ind w:firstLine="480"/>
      </w:pPr>
      <w:r>
        <w:rPr>
          <w:rFonts w:hint="eastAsia"/>
        </w:rPr>
        <w:t>（二）本合同总价款为人民币：【   】元整（RMB：【   】元），结算总金额上限不得超过合同总价款。（清单可附页）</w:t>
      </w:r>
    </w:p>
    <w:tbl>
      <w:tblPr>
        <w:tblStyle w:val="14"/>
        <w:tblW w:w="9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549"/>
        <w:gridCol w:w="2491"/>
        <w:gridCol w:w="665"/>
        <w:gridCol w:w="864"/>
        <w:gridCol w:w="1135"/>
        <w:gridCol w:w="1135"/>
        <w:gridCol w:w="1203"/>
      </w:tblGrid>
      <w:tr w14:paraId="4FDA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33" w:type="dxa"/>
            <w:tcBorders>
              <w:top w:val="single" w:color="auto" w:sz="4" w:space="0"/>
              <w:left w:val="single" w:color="auto" w:sz="4" w:space="0"/>
              <w:bottom w:val="single" w:color="auto" w:sz="4" w:space="0"/>
              <w:right w:val="single" w:color="auto" w:sz="4" w:space="0"/>
            </w:tcBorders>
            <w:noWrap w:val="0"/>
            <w:vAlign w:val="center"/>
          </w:tcPr>
          <w:p w14:paraId="79748316">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序号</w:t>
            </w:r>
          </w:p>
        </w:tc>
        <w:tc>
          <w:tcPr>
            <w:tcW w:w="1549" w:type="dxa"/>
            <w:tcBorders>
              <w:top w:val="single" w:color="auto" w:sz="4" w:space="0"/>
              <w:left w:val="single" w:color="auto" w:sz="4" w:space="0"/>
              <w:bottom w:val="single" w:color="auto" w:sz="4" w:space="0"/>
              <w:right w:val="single" w:color="auto" w:sz="4" w:space="0"/>
            </w:tcBorders>
            <w:noWrap w:val="0"/>
            <w:vAlign w:val="center"/>
          </w:tcPr>
          <w:p w14:paraId="58734748">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名称</w:t>
            </w:r>
          </w:p>
        </w:tc>
        <w:tc>
          <w:tcPr>
            <w:tcW w:w="2491" w:type="dxa"/>
            <w:tcBorders>
              <w:top w:val="single" w:color="auto" w:sz="4" w:space="0"/>
              <w:left w:val="single" w:color="auto" w:sz="4" w:space="0"/>
              <w:bottom w:val="single" w:color="auto" w:sz="4" w:space="0"/>
              <w:right w:val="single" w:color="auto" w:sz="4" w:space="0"/>
            </w:tcBorders>
            <w:noWrap w:val="0"/>
            <w:vAlign w:val="center"/>
          </w:tcPr>
          <w:p w14:paraId="71B496C5">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品牌型号</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6BD790E7">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产地</w:t>
            </w:r>
          </w:p>
        </w:tc>
        <w:tc>
          <w:tcPr>
            <w:tcW w:w="864" w:type="dxa"/>
            <w:tcBorders>
              <w:top w:val="single" w:color="auto" w:sz="4" w:space="0"/>
              <w:left w:val="single" w:color="auto" w:sz="4" w:space="0"/>
              <w:bottom w:val="single" w:color="auto" w:sz="4" w:space="0"/>
              <w:right w:val="single" w:color="auto" w:sz="4" w:space="0"/>
            </w:tcBorders>
            <w:noWrap w:val="0"/>
            <w:vAlign w:val="center"/>
          </w:tcPr>
          <w:p w14:paraId="482CFB47">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单价</w:t>
            </w:r>
          </w:p>
        </w:tc>
        <w:tc>
          <w:tcPr>
            <w:tcW w:w="1135" w:type="dxa"/>
            <w:tcBorders>
              <w:top w:val="single" w:color="auto" w:sz="4" w:space="0"/>
              <w:left w:val="single" w:color="auto" w:sz="4" w:space="0"/>
              <w:bottom w:val="single" w:color="auto" w:sz="4" w:space="0"/>
              <w:right w:val="single" w:color="auto" w:sz="4" w:space="0"/>
            </w:tcBorders>
            <w:noWrap w:val="0"/>
            <w:vAlign w:val="center"/>
          </w:tcPr>
          <w:p w14:paraId="04EB6D1A">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数量</w:t>
            </w:r>
          </w:p>
        </w:tc>
        <w:tc>
          <w:tcPr>
            <w:tcW w:w="1135" w:type="dxa"/>
            <w:tcBorders>
              <w:top w:val="single" w:color="auto" w:sz="4" w:space="0"/>
              <w:left w:val="single" w:color="auto" w:sz="4" w:space="0"/>
              <w:bottom w:val="single" w:color="auto" w:sz="4" w:space="0"/>
              <w:right w:val="single" w:color="auto" w:sz="4" w:space="0"/>
            </w:tcBorders>
            <w:noWrap w:val="0"/>
            <w:vAlign w:val="center"/>
          </w:tcPr>
          <w:p w14:paraId="201C6ADA">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合计（元）</w:t>
            </w:r>
          </w:p>
        </w:tc>
        <w:tc>
          <w:tcPr>
            <w:tcW w:w="1203" w:type="dxa"/>
            <w:tcBorders>
              <w:top w:val="single" w:color="auto" w:sz="4" w:space="0"/>
              <w:left w:val="single" w:color="auto" w:sz="4" w:space="0"/>
              <w:bottom w:val="single" w:color="auto" w:sz="4" w:space="0"/>
              <w:right w:val="single" w:color="auto" w:sz="4" w:space="0"/>
            </w:tcBorders>
            <w:noWrap w:val="0"/>
            <w:vAlign w:val="center"/>
          </w:tcPr>
          <w:p w14:paraId="22D541B7">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sz w:val="21"/>
                <w:szCs w:val="21"/>
              </w:rPr>
            </w:pPr>
            <w:r>
              <w:rPr>
                <w:rFonts w:hint="eastAsia" w:ascii="仿宋" w:hAnsi="仿宋" w:eastAsia="仿宋" w:cs="仿宋"/>
                <w:sz w:val="21"/>
                <w:szCs w:val="21"/>
              </w:rPr>
              <w:t>是否进口</w:t>
            </w:r>
          </w:p>
        </w:tc>
      </w:tr>
      <w:tr w14:paraId="14DF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533" w:type="dxa"/>
            <w:tcBorders>
              <w:top w:val="single" w:color="auto" w:sz="4" w:space="0"/>
              <w:left w:val="single" w:color="auto" w:sz="4" w:space="0"/>
              <w:bottom w:val="single" w:color="auto" w:sz="4" w:space="0"/>
              <w:right w:val="single" w:color="auto" w:sz="4" w:space="0"/>
            </w:tcBorders>
            <w:noWrap w:val="0"/>
            <w:vAlign w:val="center"/>
          </w:tcPr>
          <w:p w14:paraId="32E38D38">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1</w:t>
            </w:r>
          </w:p>
        </w:tc>
        <w:tc>
          <w:tcPr>
            <w:tcW w:w="1549" w:type="dxa"/>
            <w:tcBorders>
              <w:top w:val="single" w:color="auto" w:sz="4" w:space="0"/>
              <w:left w:val="single" w:color="auto" w:sz="4" w:space="0"/>
              <w:bottom w:val="single" w:color="auto" w:sz="4" w:space="0"/>
              <w:right w:val="single" w:color="auto" w:sz="4" w:space="0"/>
            </w:tcBorders>
            <w:noWrap w:val="0"/>
            <w:vAlign w:val="center"/>
          </w:tcPr>
          <w:p w14:paraId="1D2A2F67">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FF0000"/>
                <w:kern w:val="0"/>
                <w:sz w:val="21"/>
                <w:szCs w:val="21"/>
                <w:lang w:bidi="ar"/>
              </w:rPr>
            </w:pPr>
          </w:p>
        </w:tc>
        <w:tc>
          <w:tcPr>
            <w:tcW w:w="2491" w:type="dxa"/>
            <w:tcBorders>
              <w:top w:val="single" w:color="auto" w:sz="4" w:space="0"/>
              <w:left w:val="single" w:color="auto" w:sz="4" w:space="0"/>
              <w:bottom w:val="single" w:color="auto" w:sz="4" w:space="0"/>
              <w:right w:val="single" w:color="auto" w:sz="4" w:space="0"/>
            </w:tcBorders>
            <w:noWrap w:val="0"/>
            <w:vAlign w:val="center"/>
          </w:tcPr>
          <w:p w14:paraId="6FF8A5C2">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665" w:type="dxa"/>
            <w:tcBorders>
              <w:top w:val="single" w:color="auto" w:sz="4" w:space="0"/>
              <w:left w:val="single" w:color="auto" w:sz="4" w:space="0"/>
              <w:bottom w:val="single" w:color="auto" w:sz="4" w:space="0"/>
              <w:right w:val="single" w:color="auto" w:sz="4" w:space="0"/>
            </w:tcBorders>
            <w:noWrap w:val="0"/>
            <w:vAlign w:val="center"/>
          </w:tcPr>
          <w:p w14:paraId="02014F7A">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FF0000"/>
                <w:kern w:val="0"/>
                <w:sz w:val="21"/>
                <w:szCs w:val="21"/>
                <w:lang w:bidi="ar"/>
              </w:rPr>
            </w:pPr>
          </w:p>
        </w:tc>
        <w:tc>
          <w:tcPr>
            <w:tcW w:w="864" w:type="dxa"/>
            <w:tcBorders>
              <w:top w:val="single" w:color="auto" w:sz="4" w:space="0"/>
              <w:left w:val="single" w:color="auto" w:sz="4" w:space="0"/>
              <w:bottom w:val="single" w:color="auto" w:sz="4" w:space="0"/>
              <w:right w:val="single" w:color="auto" w:sz="4" w:space="0"/>
            </w:tcBorders>
            <w:noWrap w:val="0"/>
            <w:vAlign w:val="center"/>
          </w:tcPr>
          <w:p w14:paraId="29D314F5">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13527B53">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5B648CAB">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52CD370D">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FF0000"/>
                <w:kern w:val="0"/>
                <w:sz w:val="21"/>
                <w:szCs w:val="21"/>
                <w:lang w:bidi="ar"/>
              </w:rPr>
            </w:pPr>
          </w:p>
        </w:tc>
      </w:tr>
      <w:tr w14:paraId="2DDE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33" w:type="dxa"/>
            <w:tcBorders>
              <w:top w:val="single" w:color="auto" w:sz="4" w:space="0"/>
              <w:left w:val="single" w:color="auto" w:sz="4" w:space="0"/>
              <w:bottom w:val="single" w:color="auto" w:sz="4" w:space="0"/>
              <w:right w:val="single" w:color="auto" w:sz="4" w:space="0"/>
            </w:tcBorders>
            <w:noWrap w:val="0"/>
            <w:vAlign w:val="center"/>
          </w:tcPr>
          <w:p w14:paraId="5C591623">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2</w:t>
            </w:r>
          </w:p>
        </w:tc>
        <w:tc>
          <w:tcPr>
            <w:tcW w:w="1549" w:type="dxa"/>
            <w:tcBorders>
              <w:top w:val="single" w:color="auto" w:sz="4" w:space="0"/>
              <w:left w:val="single" w:color="auto" w:sz="4" w:space="0"/>
              <w:bottom w:val="single" w:color="auto" w:sz="4" w:space="0"/>
              <w:right w:val="single" w:color="auto" w:sz="4" w:space="0"/>
            </w:tcBorders>
            <w:noWrap w:val="0"/>
            <w:vAlign w:val="center"/>
          </w:tcPr>
          <w:p w14:paraId="74378ADE">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FF0000"/>
                <w:kern w:val="0"/>
                <w:sz w:val="21"/>
                <w:szCs w:val="21"/>
                <w:lang w:bidi="ar"/>
              </w:rPr>
            </w:pPr>
          </w:p>
        </w:tc>
        <w:tc>
          <w:tcPr>
            <w:tcW w:w="2491" w:type="dxa"/>
            <w:tcBorders>
              <w:top w:val="single" w:color="auto" w:sz="4" w:space="0"/>
              <w:left w:val="single" w:color="auto" w:sz="4" w:space="0"/>
              <w:bottom w:val="single" w:color="auto" w:sz="4" w:space="0"/>
              <w:right w:val="single" w:color="auto" w:sz="4" w:space="0"/>
            </w:tcBorders>
            <w:noWrap w:val="0"/>
            <w:vAlign w:val="center"/>
          </w:tcPr>
          <w:p w14:paraId="2CE6EA8E">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665" w:type="dxa"/>
            <w:tcBorders>
              <w:top w:val="single" w:color="auto" w:sz="4" w:space="0"/>
              <w:left w:val="single" w:color="auto" w:sz="4" w:space="0"/>
              <w:bottom w:val="single" w:color="auto" w:sz="4" w:space="0"/>
              <w:right w:val="single" w:color="auto" w:sz="4" w:space="0"/>
            </w:tcBorders>
            <w:noWrap w:val="0"/>
            <w:vAlign w:val="center"/>
          </w:tcPr>
          <w:p w14:paraId="32C0748D">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FF0000"/>
                <w:kern w:val="0"/>
                <w:sz w:val="21"/>
                <w:szCs w:val="21"/>
                <w:lang w:bidi="ar"/>
              </w:rPr>
            </w:pPr>
          </w:p>
        </w:tc>
        <w:tc>
          <w:tcPr>
            <w:tcW w:w="864" w:type="dxa"/>
            <w:tcBorders>
              <w:top w:val="single" w:color="auto" w:sz="4" w:space="0"/>
              <w:left w:val="single" w:color="auto" w:sz="4" w:space="0"/>
              <w:bottom w:val="single" w:color="auto" w:sz="4" w:space="0"/>
              <w:right w:val="single" w:color="auto" w:sz="4" w:space="0"/>
            </w:tcBorders>
            <w:noWrap w:val="0"/>
            <w:vAlign w:val="center"/>
          </w:tcPr>
          <w:p w14:paraId="35B9BE13">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31FC3D98">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5E8F54AA">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FF0000"/>
                <w:kern w:val="0"/>
                <w:sz w:val="21"/>
                <w:szCs w:val="21"/>
                <w:lang w:bidi="ar"/>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79829F4C">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FF0000"/>
                <w:kern w:val="0"/>
                <w:sz w:val="21"/>
                <w:szCs w:val="21"/>
                <w:lang w:bidi="ar"/>
              </w:rPr>
            </w:pPr>
          </w:p>
        </w:tc>
      </w:tr>
      <w:tr w14:paraId="0311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33" w:type="dxa"/>
            <w:tcBorders>
              <w:top w:val="single" w:color="auto" w:sz="4" w:space="0"/>
              <w:left w:val="single" w:color="auto" w:sz="4" w:space="0"/>
              <w:bottom w:val="single" w:color="auto" w:sz="4" w:space="0"/>
              <w:right w:val="single" w:color="auto" w:sz="4" w:space="0"/>
            </w:tcBorders>
            <w:noWrap w:val="0"/>
            <w:vAlign w:val="center"/>
          </w:tcPr>
          <w:p w14:paraId="40DE982E">
            <w:pPr>
              <w:pStyle w:val="35"/>
              <w:keepNext w:val="0"/>
              <w:keepLines w:val="0"/>
              <w:suppressLineNumbers w:val="0"/>
              <w:spacing w:before="0" w:beforeAutospacing="0" w:after="0" w:afterAutospacing="0" w:line="240" w:lineRule="exact"/>
              <w:ind w:left="0" w:firstLine="0" w:firstLineChars="0"/>
              <w:jc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3</w:t>
            </w:r>
          </w:p>
        </w:tc>
        <w:tc>
          <w:tcPr>
            <w:tcW w:w="1549" w:type="dxa"/>
            <w:tcBorders>
              <w:top w:val="single" w:color="auto" w:sz="4" w:space="0"/>
              <w:left w:val="single" w:color="auto" w:sz="4" w:space="0"/>
              <w:bottom w:val="single" w:color="auto" w:sz="4" w:space="0"/>
              <w:right w:val="single" w:color="auto" w:sz="4" w:space="0"/>
            </w:tcBorders>
            <w:noWrap w:val="0"/>
            <w:vAlign w:val="center"/>
          </w:tcPr>
          <w:p w14:paraId="566D7CF1">
            <w:pPr>
              <w:pStyle w:val="35"/>
              <w:keepNext w:val="0"/>
              <w:keepLines w:val="0"/>
              <w:suppressLineNumbers w:val="0"/>
              <w:spacing w:before="0" w:beforeAutospacing="0" w:after="0" w:afterAutospacing="0" w:line="240" w:lineRule="exact"/>
              <w:ind w:left="0" w:firstLine="0" w:firstLineChars="0"/>
              <w:jc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c>
          <w:tcPr>
            <w:tcW w:w="2491" w:type="dxa"/>
            <w:tcBorders>
              <w:top w:val="single" w:color="auto" w:sz="4" w:space="0"/>
              <w:left w:val="single" w:color="auto" w:sz="4" w:space="0"/>
              <w:bottom w:val="single" w:color="auto" w:sz="4" w:space="0"/>
              <w:right w:val="single" w:color="auto" w:sz="4" w:space="0"/>
            </w:tcBorders>
            <w:noWrap w:val="0"/>
            <w:vAlign w:val="center"/>
          </w:tcPr>
          <w:p w14:paraId="152D9859">
            <w:pPr>
              <w:keepNext w:val="0"/>
              <w:keepLines w:val="0"/>
              <w:widowControl/>
              <w:suppressLineNumbers w:val="0"/>
              <w:spacing w:before="0" w:beforeAutospacing="0" w:after="0" w:afterAutospacing="0" w:line="240" w:lineRule="exact"/>
              <w:ind w:left="0" w:right="0" w:firstLine="0" w:firstLineChars="0"/>
              <w:jc w:val="center"/>
              <w:textAlignment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1E43E10">
            <w:pPr>
              <w:keepNext w:val="0"/>
              <w:keepLines w:val="0"/>
              <w:suppressLineNumbers w:val="0"/>
              <w:spacing w:before="0" w:beforeAutospacing="0" w:after="0" w:afterAutospacing="0" w:line="240" w:lineRule="exact"/>
              <w:ind w:left="0" w:right="0" w:firstLine="0" w:firstLineChars="0"/>
              <w:jc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c>
          <w:tcPr>
            <w:tcW w:w="864" w:type="dxa"/>
            <w:tcBorders>
              <w:top w:val="single" w:color="auto" w:sz="4" w:space="0"/>
              <w:left w:val="single" w:color="auto" w:sz="4" w:space="0"/>
              <w:bottom w:val="single" w:color="auto" w:sz="4" w:space="0"/>
              <w:right w:val="single" w:color="auto" w:sz="4" w:space="0"/>
            </w:tcBorders>
            <w:noWrap w:val="0"/>
            <w:vAlign w:val="center"/>
          </w:tcPr>
          <w:p w14:paraId="1BA166A8">
            <w:pPr>
              <w:keepNext w:val="0"/>
              <w:keepLines w:val="0"/>
              <w:widowControl/>
              <w:suppressLineNumbers w:val="0"/>
              <w:spacing w:before="0" w:beforeAutospacing="0" w:after="0" w:afterAutospacing="0" w:line="240" w:lineRule="exact"/>
              <w:ind w:left="0" w:right="0" w:firstLine="0" w:firstLineChars="0"/>
              <w:jc w:val="center"/>
              <w:textAlignment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c>
          <w:tcPr>
            <w:tcW w:w="1135" w:type="dxa"/>
            <w:tcBorders>
              <w:top w:val="single" w:color="auto" w:sz="4" w:space="0"/>
              <w:left w:val="single" w:color="auto" w:sz="4" w:space="0"/>
              <w:bottom w:val="single" w:color="auto" w:sz="4" w:space="0"/>
              <w:right w:val="single" w:color="auto" w:sz="4" w:space="0"/>
            </w:tcBorders>
            <w:noWrap w:val="0"/>
            <w:vAlign w:val="center"/>
          </w:tcPr>
          <w:p w14:paraId="6A817646">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1B7BEC43">
            <w:pPr>
              <w:keepNext w:val="0"/>
              <w:keepLines w:val="0"/>
              <w:widowControl/>
              <w:suppressLineNumbers w:val="0"/>
              <w:spacing w:before="0" w:beforeAutospacing="0" w:after="0" w:afterAutospacing="0" w:line="240" w:lineRule="exact"/>
              <w:ind w:left="0" w:right="0" w:firstLine="0" w:firstLineChars="0"/>
              <w:jc w:val="center"/>
              <w:textAlignment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c>
          <w:tcPr>
            <w:tcW w:w="1203" w:type="dxa"/>
            <w:tcBorders>
              <w:top w:val="single" w:color="auto" w:sz="4" w:space="0"/>
              <w:left w:val="single" w:color="auto" w:sz="4" w:space="0"/>
              <w:bottom w:val="single" w:color="auto" w:sz="4" w:space="0"/>
              <w:right w:val="single" w:color="auto" w:sz="4" w:space="0"/>
            </w:tcBorders>
            <w:noWrap w:val="0"/>
            <w:vAlign w:val="center"/>
          </w:tcPr>
          <w:p w14:paraId="12FE3F16">
            <w:pPr>
              <w:keepNext w:val="0"/>
              <w:keepLines w:val="0"/>
              <w:suppressLineNumbers w:val="0"/>
              <w:spacing w:before="0" w:beforeAutospacing="0" w:after="0" w:afterAutospacing="0" w:line="240" w:lineRule="exact"/>
              <w:ind w:left="0" w:right="0" w:firstLine="0" w:firstLineChars="0"/>
              <w:jc w:val="center"/>
              <w:rPr>
                <w:rFonts w:hint="default" w:ascii="仿宋" w:hAnsi="仿宋" w:eastAsia="仿宋" w:cs="仿宋"/>
                <w:color w:val="000000"/>
                <w:kern w:val="0"/>
                <w:sz w:val="21"/>
                <w:szCs w:val="21"/>
                <w:lang w:bidi="ar"/>
              </w:rPr>
            </w:pPr>
            <w:r>
              <w:rPr>
                <w:rFonts w:hint="eastAsia" w:ascii="仿宋" w:hAnsi="仿宋" w:eastAsia="仿宋" w:cs="仿宋"/>
                <w:color w:val="000000"/>
                <w:kern w:val="0"/>
                <w:sz w:val="21"/>
                <w:szCs w:val="21"/>
                <w:lang w:bidi="ar"/>
              </w:rPr>
              <w:t>....</w:t>
            </w:r>
          </w:p>
        </w:tc>
      </w:tr>
      <w:tr w14:paraId="796D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33" w:type="dxa"/>
            <w:tcBorders>
              <w:top w:val="single" w:color="auto" w:sz="4" w:space="0"/>
              <w:left w:val="single" w:color="auto" w:sz="4" w:space="0"/>
              <w:bottom w:val="single" w:color="auto" w:sz="4" w:space="0"/>
              <w:right w:val="single" w:color="auto" w:sz="4" w:space="0"/>
            </w:tcBorders>
            <w:noWrap w:val="0"/>
            <w:vAlign w:val="center"/>
          </w:tcPr>
          <w:p w14:paraId="43F59FA2">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14:paraId="26D94137">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2491" w:type="dxa"/>
            <w:tcBorders>
              <w:top w:val="single" w:color="auto" w:sz="4" w:space="0"/>
              <w:left w:val="single" w:color="auto" w:sz="4" w:space="0"/>
              <w:bottom w:val="single" w:color="auto" w:sz="4" w:space="0"/>
              <w:right w:val="single" w:color="auto" w:sz="4" w:space="0"/>
            </w:tcBorders>
            <w:noWrap w:val="0"/>
            <w:vAlign w:val="center"/>
          </w:tcPr>
          <w:p w14:paraId="6BB88C51">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665" w:type="dxa"/>
            <w:tcBorders>
              <w:top w:val="single" w:color="auto" w:sz="4" w:space="0"/>
              <w:left w:val="single" w:color="auto" w:sz="4" w:space="0"/>
              <w:bottom w:val="single" w:color="auto" w:sz="4" w:space="0"/>
              <w:right w:val="single" w:color="auto" w:sz="4" w:space="0"/>
            </w:tcBorders>
            <w:noWrap w:val="0"/>
            <w:vAlign w:val="center"/>
          </w:tcPr>
          <w:p w14:paraId="79ADB43C">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c>
          <w:tcPr>
            <w:tcW w:w="864" w:type="dxa"/>
            <w:tcBorders>
              <w:top w:val="single" w:color="auto" w:sz="4" w:space="0"/>
              <w:left w:val="single" w:color="auto" w:sz="4" w:space="0"/>
              <w:bottom w:val="single" w:color="auto" w:sz="4" w:space="0"/>
              <w:right w:val="single" w:color="auto" w:sz="4" w:space="0"/>
            </w:tcBorders>
            <w:noWrap w:val="0"/>
            <w:vAlign w:val="center"/>
          </w:tcPr>
          <w:p w14:paraId="0BD56AB6">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3C6DB507">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60E178EE">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27618C76">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r>
      <w:tr w14:paraId="43CF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33" w:type="dxa"/>
            <w:tcBorders>
              <w:top w:val="single" w:color="auto" w:sz="4" w:space="0"/>
              <w:left w:val="single" w:color="auto" w:sz="4" w:space="0"/>
              <w:bottom w:val="single" w:color="auto" w:sz="4" w:space="0"/>
              <w:right w:val="single" w:color="auto" w:sz="4" w:space="0"/>
            </w:tcBorders>
            <w:noWrap w:val="0"/>
            <w:vAlign w:val="center"/>
          </w:tcPr>
          <w:p w14:paraId="64427256">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14:paraId="3D27D5ED">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2491" w:type="dxa"/>
            <w:tcBorders>
              <w:top w:val="single" w:color="auto" w:sz="4" w:space="0"/>
              <w:left w:val="single" w:color="auto" w:sz="4" w:space="0"/>
              <w:bottom w:val="single" w:color="auto" w:sz="4" w:space="0"/>
              <w:right w:val="single" w:color="auto" w:sz="4" w:space="0"/>
            </w:tcBorders>
            <w:noWrap w:val="0"/>
            <w:vAlign w:val="center"/>
          </w:tcPr>
          <w:p w14:paraId="7D0EACE2">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665" w:type="dxa"/>
            <w:tcBorders>
              <w:top w:val="single" w:color="auto" w:sz="4" w:space="0"/>
              <w:left w:val="single" w:color="auto" w:sz="4" w:space="0"/>
              <w:bottom w:val="single" w:color="auto" w:sz="4" w:space="0"/>
              <w:right w:val="single" w:color="auto" w:sz="4" w:space="0"/>
            </w:tcBorders>
            <w:noWrap w:val="0"/>
            <w:vAlign w:val="center"/>
          </w:tcPr>
          <w:p w14:paraId="649E919C">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c>
          <w:tcPr>
            <w:tcW w:w="864" w:type="dxa"/>
            <w:tcBorders>
              <w:top w:val="single" w:color="auto" w:sz="4" w:space="0"/>
              <w:left w:val="single" w:color="auto" w:sz="4" w:space="0"/>
              <w:bottom w:val="single" w:color="auto" w:sz="4" w:space="0"/>
              <w:right w:val="single" w:color="auto" w:sz="4" w:space="0"/>
            </w:tcBorders>
            <w:noWrap w:val="0"/>
            <w:vAlign w:val="center"/>
          </w:tcPr>
          <w:p w14:paraId="27052F2C">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7AE0779C">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6A6FEEAB">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3DDA33D1">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r>
      <w:tr w14:paraId="5BBC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33" w:type="dxa"/>
            <w:tcBorders>
              <w:top w:val="single" w:color="auto" w:sz="4" w:space="0"/>
              <w:left w:val="single" w:color="auto" w:sz="4" w:space="0"/>
              <w:bottom w:val="single" w:color="auto" w:sz="4" w:space="0"/>
              <w:right w:val="single" w:color="auto" w:sz="4" w:space="0"/>
            </w:tcBorders>
            <w:noWrap w:val="0"/>
            <w:vAlign w:val="center"/>
          </w:tcPr>
          <w:p w14:paraId="002EB6D8">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1549" w:type="dxa"/>
            <w:tcBorders>
              <w:top w:val="single" w:color="auto" w:sz="4" w:space="0"/>
              <w:left w:val="single" w:color="auto" w:sz="4" w:space="0"/>
              <w:bottom w:val="single" w:color="auto" w:sz="4" w:space="0"/>
              <w:right w:val="single" w:color="auto" w:sz="4" w:space="0"/>
            </w:tcBorders>
            <w:noWrap w:val="0"/>
            <w:vAlign w:val="center"/>
          </w:tcPr>
          <w:p w14:paraId="4BB63D45">
            <w:pPr>
              <w:pStyle w:val="35"/>
              <w:keepNext w:val="0"/>
              <w:keepLines w:val="0"/>
              <w:suppressLineNumbers w:val="0"/>
              <w:spacing w:before="0" w:beforeAutospacing="0" w:after="0" w:afterAutospacing="0" w:line="240" w:lineRule="exact"/>
              <w:ind w:left="0" w:firstLine="0" w:firstLineChars="0"/>
              <w:jc w:val="center"/>
              <w:rPr>
                <w:rFonts w:hint="eastAsia" w:ascii="仿宋" w:hAnsi="仿宋" w:eastAsia="仿宋" w:cs="仿宋"/>
                <w:color w:val="000000"/>
                <w:kern w:val="0"/>
                <w:sz w:val="21"/>
                <w:szCs w:val="21"/>
                <w:lang w:bidi="ar"/>
              </w:rPr>
            </w:pPr>
          </w:p>
        </w:tc>
        <w:tc>
          <w:tcPr>
            <w:tcW w:w="2491" w:type="dxa"/>
            <w:tcBorders>
              <w:top w:val="single" w:color="auto" w:sz="4" w:space="0"/>
              <w:left w:val="single" w:color="auto" w:sz="4" w:space="0"/>
              <w:bottom w:val="single" w:color="auto" w:sz="4" w:space="0"/>
              <w:right w:val="single" w:color="auto" w:sz="4" w:space="0"/>
            </w:tcBorders>
            <w:noWrap w:val="0"/>
            <w:vAlign w:val="center"/>
          </w:tcPr>
          <w:p w14:paraId="47802C05">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665" w:type="dxa"/>
            <w:tcBorders>
              <w:top w:val="single" w:color="auto" w:sz="4" w:space="0"/>
              <w:left w:val="single" w:color="auto" w:sz="4" w:space="0"/>
              <w:bottom w:val="single" w:color="auto" w:sz="4" w:space="0"/>
              <w:right w:val="single" w:color="auto" w:sz="4" w:space="0"/>
            </w:tcBorders>
            <w:noWrap w:val="0"/>
            <w:vAlign w:val="center"/>
          </w:tcPr>
          <w:p w14:paraId="71E34835">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c>
          <w:tcPr>
            <w:tcW w:w="864" w:type="dxa"/>
            <w:tcBorders>
              <w:top w:val="single" w:color="auto" w:sz="4" w:space="0"/>
              <w:left w:val="single" w:color="auto" w:sz="4" w:space="0"/>
              <w:bottom w:val="single" w:color="auto" w:sz="4" w:space="0"/>
              <w:right w:val="single" w:color="auto" w:sz="4" w:space="0"/>
            </w:tcBorders>
            <w:noWrap w:val="0"/>
            <w:vAlign w:val="center"/>
          </w:tcPr>
          <w:p w14:paraId="39A5F98B">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7CE016E2">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0CF9D08E">
            <w:pPr>
              <w:keepNext w:val="0"/>
              <w:keepLines w:val="0"/>
              <w:widowControl/>
              <w:suppressLineNumbers w:val="0"/>
              <w:spacing w:before="0" w:beforeAutospacing="0" w:after="0" w:afterAutospacing="0" w:line="240" w:lineRule="exact"/>
              <w:ind w:left="0" w:right="0" w:firstLine="0" w:firstLineChars="0"/>
              <w:jc w:val="center"/>
              <w:textAlignment w:val="center"/>
              <w:rPr>
                <w:rFonts w:hint="eastAsia" w:ascii="仿宋" w:hAnsi="仿宋" w:eastAsia="仿宋" w:cs="仿宋"/>
                <w:color w:val="000000"/>
                <w:kern w:val="0"/>
                <w:sz w:val="21"/>
                <w:szCs w:val="21"/>
                <w:lang w:bidi="ar"/>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463AAEAA">
            <w:pPr>
              <w:keepNext w:val="0"/>
              <w:keepLines w:val="0"/>
              <w:suppressLineNumbers w:val="0"/>
              <w:spacing w:before="0" w:beforeAutospacing="0" w:after="0" w:afterAutospacing="0" w:line="240" w:lineRule="exact"/>
              <w:ind w:left="0" w:right="0" w:firstLine="0" w:firstLineChars="0"/>
              <w:jc w:val="center"/>
              <w:rPr>
                <w:rFonts w:hint="eastAsia" w:ascii="仿宋" w:hAnsi="仿宋" w:eastAsia="仿宋" w:cs="仿宋"/>
                <w:color w:val="000000"/>
                <w:kern w:val="0"/>
                <w:sz w:val="21"/>
                <w:szCs w:val="21"/>
                <w:lang w:bidi="ar"/>
              </w:rPr>
            </w:pPr>
          </w:p>
        </w:tc>
      </w:tr>
      <w:tr w14:paraId="2D24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4573" w:type="dxa"/>
            <w:gridSpan w:val="3"/>
            <w:tcBorders>
              <w:top w:val="single" w:color="auto" w:sz="4" w:space="0"/>
              <w:left w:val="single" w:color="auto" w:sz="4" w:space="0"/>
              <w:bottom w:val="single" w:color="auto" w:sz="4" w:space="0"/>
              <w:right w:val="single" w:color="auto" w:sz="4" w:space="0"/>
            </w:tcBorders>
            <w:noWrap w:val="0"/>
            <w:vAlign w:val="center"/>
          </w:tcPr>
          <w:p w14:paraId="0426784A">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rPr>
            </w:pPr>
            <w:r>
              <w:rPr>
                <w:rFonts w:hint="eastAsia" w:ascii="仿宋" w:hAnsi="仿宋" w:eastAsia="仿宋" w:cs="仿宋"/>
              </w:rPr>
              <w:t>总价</w:t>
            </w:r>
          </w:p>
        </w:tc>
        <w:tc>
          <w:tcPr>
            <w:tcW w:w="5002" w:type="dxa"/>
            <w:gridSpan w:val="5"/>
            <w:tcBorders>
              <w:top w:val="single" w:color="auto" w:sz="4" w:space="0"/>
              <w:left w:val="single" w:color="auto" w:sz="4" w:space="0"/>
              <w:bottom w:val="single" w:color="auto" w:sz="4" w:space="0"/>
              <w:right w:val="single" w:color="auto" w:sz="4" w:space="0"/>
            </w:tcBorders>
            <w:noWrap w:val="0"/>
            <w:vAlign w:val="center"/>
          </w:tcPr>
          <w:p w14:paraId="357610F0">
            <w:pPr>
              <w:keepNext w:val="0"/>
              <w:keepLines w:val="0"/>
              <w:suppressLineNumbers w:val="0"/>
              <w:spacing w:before="0" w:beforeAutospacing="0" w:after="0" w:afterAutospacing="0" w:line="240" w:lineRule="auto"/>
              <w:ind w:left="0" w:right="0" w:firstLine="0" w:firstLineChars="0"/>
              <w:jc w:val="center"/>
              <w:rPr>
                <w:rFonts w:hint="eastAsia" w:ascii="仿宋" w:hAnsi="仿宋" w:eastAsia="仿宋" w:cs="仿宋"/>
              </w:rPr>
            </w:pPr>
          </w:p>
        </w:tc>
      </w:tr>
    </w:tbl>
    <w:p w14:paraId="19BDD094">
      <w:pPr>
        <w:ind w:firstLine="480"/>
        <w:rPr>
          <w:rFonts w:hint="eastAsia"/>
        </w:rPr>
      </w:pPr>
      <w:r>
        <w:rPr>
          <w:rFonts w:hint="eastAsia"/>
        </w:rPr>
        <w:t>（三）以上清单中货物的技术参数按照本项目乙方投标文件的投标内容为准。</w:t>
      </w:r>
    </w:p>
    <w:p w14:paraId="3F2CB573">
      <w:pPr>
        <w:ind w:firstLine="480"/>
        <w:rPr>
          <w:rFonts w:hint="eastAsia"/>
        </w:rPr>
      </w:pPr>
      <w:r>
        <w:rPr>
          <w:rFonts w:hint="eastAsia"/>
        </w:rPr>
        <w:t>（四）本合同总价款包含货物、设计制造、运保、安装调试、验收、税金等费用，本合同总价款还包含乙方应当提供的伴随服务/售后服务费用。</w:t>
      </w:r>
    </w:p>
    <w:p w14:paraId="30993E4D">
      <w:pPr>
        <w:bidi w:val="0"/>
        <w:rPr>
          <w:rFonts w:hint="eastAsia"/>
          <w:b/>
          <w:bCs/>
        </w:rPr>
      </w:pPr>
      <w:r>
        <w:rPr>
          <w:rFonts w:hint="eastAsia"/>
          <w:b/>
          <w:bCs/>
        </w:rPr>
        <w:t>二、交货期限、交货地点、结算方式、履约保证金</w:t>
      </w:r>
    </w:p>
    <w:p w14:paraId="6C2DA90E">
      <w:pPr>
        <w:ind w:firstLine="480"/>
        <w:rPr>
          <w:rFonts w:hint="eastAsia"/>
          <w:highlight w:val="none"/>
        </w:rPr>
      </w:pPr>
      <w:r>
        <w:rPr>
          <w:rFonts w:hint="eastAsia"/>
          <w:highlight w:val="none"/>
        </w:rPr>
        <w:t>（一）交货期限：中标通知书发出之日起10个工作日内完成全部 40 套柜体供货、安装与调试工作；</w:t>
      </w:r>
    </w:p>
    <w:p w14:paraId="397BD7D4">
      <w:pPr>
        <w:ind w:firstLine="480"/>
        <w:rPr>
          <w:rFonts w:hint="eastAsia" w:eastAsiaTheme="minorEastAsia"/>
          <w:highlight w:val="none"/>
          <w:lang w:val="en-US" w:eastAsia="zh-CN"/>
        </w:rPr>
      </w:pPr>
      <w:r>
        <w:rPr>
          <w:rFonts w:hint="eastAsia"/>
          <w:highlight w:val="none"/>
          <w:lang w:eastAsia="zh-CN"/>
        </w:rPr>
        <w:t>（</w:t>
      </w:r>
      <w:r>
        <w:rPr>
          <w:rFonts w:hint="eastAsia"/>
          <w:highlight w:val="none"/>
          <w:lang w:val="en-US" w:eastAsia="zh-CN"/>
        </w:rPr>
        <w:t>二</w:t>
      </w:r>
      <w:r>
        <w:rPr>
          <w:rFonts w:hint="eastAsia"/>
          <w:highlight w:val="none"/>
          <w:lang w:eastAsia="zh-CN"/>
        </w:rPr>
        <w:t>）</w:t>
      </w:r>
      <w:r>
        <w:rPr>
          <w:rFonts w:hint="eastAsia"/>
          <w:highlight w:val="none"/>
        </w:rPr>
        <w:t>安装调试过程中涉及的电路改造等工程及相关费用，均由中标单位自行承担</w:t>
      </w:r>
      <w:r>
        <w:rPr>
          <w:rFonts w:hint="eastAsia"/>
          <w:highlight w:val="none"/>
          <w:lang w:eastAsia="zh-CN"/>
        </w:rPr>
        <w:t>。</w:t>
      </w:r>
      <w:r>
        <w:rPr>
          <w:rFonts w:hint="eastAsia"/>
          <w:highlight w:val="none"/>
        </w:rPr>
        <w:t>涉及电路改造相关人员需具备相关资质，安装调试过程中涉及的人员安全等责任由中标单位自行承担。</w:t>
      </w:r>
    </w:p>
    <w:p w14:paraId="5683464B">
      <w:pPr>
        <w:ind w:firstLine="480"/>
        <w:rPr>
          <w:rFonts w:hint="default"/>
          <w:highlight w:val="none"/>
          <w:lang w:val="en-US"/>
        </w:rPr>
      </w:pPr>
      <w:r>
        <w:rPr>
          <w:rFonts w:hint="eastAsia"/>
          <w:highlight w:val="none"/>
        </w:rPr>
        <w:t>（</w:t>
      </w:r>
      <w:r>
        <w:rPr>
          <w:rFonts w:hint="eastAsia"/>
          <w:highlight w:val="none"/>
          <w:lang w:val="en-US" w:eastAsia="zh-CN"/>
        </w:rPr>
        <w:t>三</w:t>
      </w:r>
      <w:r>
        <w:rPr>
          <w:rFonts w:hint="eastAsia"/>
          <w:highlight w:val="none"/>
        </w:rPr>
        <w:t>）交货地点：</w:t>
      </w:r>
      <w:r>
        <w:rPr>
          <w:rFonts w:hint="eastAsia"/>
          <w:highlight w:val="none"/>
          <w:lang w:val="en-US" w:eastAsia="zh-CN"/>
        </w:rPr>
        <w:t>湖州学院</w:t>
      </w:r>
    </w:p>
    <w:p w14:paraId="1A938D25">
      <w:pPr>
        <w:ind w:firstLine="480"/>
        <w:rPr>
          <w:rFonts w:hint="eastAsia" w:asciiTheme="minorHAnsi" w:hAnsiTheme="minorHAnsi" w:eastAsiaTheme="minorEastAsia" w:cstheme="minorBidi"/>
          <w:sz w:val="21"/>
          <w:highlight w:val="none"/>
        </w:rPr>
      </w:pPr>
      <w:r>
        <w:rPr>
          <w:rFonts w:hint="eastAsia"/>
          <w:highlight w:val="none"/>
        </w:rPr>
        <w:t>（</w:t>
      </w:r>
      <w:r>
        <w:rPr>
          <w:rFonts w:hint="eastAsia"/>
          <w:highlight w:val="none"/>
          <w:lang w:val="en-US" w:eastAsia="zh-CN"/>
        </w:rPr>
        <w:t>四</w:t>
      </w:r>
      <w:r>
        <w:rPr>
          <w:rFonts w:hint="eastAsia"/>
          <w:highlight w:val="none"/>
        </w:rPr>
        <w:t>）结算方式：</w:t>
      </w:r>
      <w:r>
        <w:rPr>
          <w:rFonts w:asciiTheme="minorHAnsi" w:hAnsiTheme="minorHAnsi" w:eastAsiaTheme="minorEastAsia" w:cstheme="minorBidi"/>
          <w:sz w:val="21"/>
          <w:highlight w:val="none"/>
        </w:rPr>
        <w:t>全部货物</w:t>
      </w:r>
      <w:r>
        <w:rPr>
          <w:rFonts w:hint="eastAsia" w:asciiTheme="minorHAnsi" w:hAnsiTheme="minorHAnsi" w:eastAsiaTheme="minorEastAsia" w:cstheme="minorBidi"/>
          <w:sz w:val="21"/>
          <w:highlight w:val="none"/>
          <w:lang w:val="en-US" w:eastAsia="zh-CN"/>
        </w:rPr>
        <w:t>交付</w:t>
      </w:r>
      <w:r>
        <w:rPr>
          <w:rFonts w:asciiTheme="minorHAnsi" w:hAnsiTheme="minorHAnsi" w:eastAsiaTheme="minorEastAsia" w:cstheme="minorBidi"/>
          <w:sz w:val="21"/>
          <w:highlight w:val="none"/>
        </w:rPr>
        <w:t>、组装、调试完成后进行</w:t>
      </w:r>
      <w:r>
        <w:rPr>
          <w:rFonts w:hint="eastAsia" w:asciiTheme="minorHAnsi" w:hAnsiTheme="minorHAnsi" w:eastAsiaTheme="minorEastAsia" w:cstheme="minorBidi"/>
          <w:sz w:val="21"/>
          <w:highlight w:val="none"/>
          <w:lang w:val="en-US" w:eastAsia="zh-CN"/>
        </w:rPr>
        <w:t>验收</w:t>
      </w:r>
      <w:r>
        <w:rPr>
          <w:rFonts w:asciiTheme="minorHAnsi" w:hAnsiTheme="minorHAnsi" w:eastAsiaTheme="minorEastAsia" w:cstheme="minorBidi"/>
          <w:sz w:val="21"/>
          <w:highlight w:val="none"/>
        </w:rPr>
        <w:t>，终验合格后</w:t>
      </w:r>
      <w:r>
        <w:rPr>
          <w:rFonts w:hint="eastAsia" w:asciiTheme="minorHAnsi" w:hAnsiTheme="minorHAnsi" w:eastAsiaTheme="minorEastAsia" w:cstheme="minorBidi"/>
          <w:sz w:val="21"/>
          <w:highlight w:val="none"/>
          <w:lang w:val="en-US" w:eastAsia="zh-CN"/>
        </w:rPr>
        <w:t>一次性支付全部款项</w:t>
      </w:r>
      <w:r>
        <w:rPr>
          <w:rFonts w:asciiTheme="minorHAnsi" w:hAnsiTheme="minorHAnsi" w:eastAsiaTheme="minorEastAsia" w:cstheme="minorBidi"/>
          <w:sz w:val="21"/>
          <w:highlight w:val="none"/>
        </w:rPr>
        <w:t>。（按实际数量结算，最高不超过合同金额）。</w:t>
      </w:r>
    </w:p>
    <w:p w14:paraId="01E2C178">
      <w:pPr>
        <w:ind w:firstLine="480"/>
        <w:rPr>
          <w:rFonts w:hint="eastAsia"/>
          <w:highlight w:val="none"/>
          <w:lang w:val="en-US" w:eastAsia="zh-CN"/>
        </w:rPr>
      </w:pPr>
      <w:r>
        <w:rPr>
          <w:rFonts w:hint="eastAsia"/>
          <w:highlight w:val="none"/>
          <w:lang w:eastAsia="zh-CN"/>
        </w:rPr>
        <w:t>（</w:t>
      </w:r>
      <w:r>
        <w:rPr>
          <w:rFonts w:hint="eastAsia"/>
          <w:highlight w:val="none"/>
          <w:lang w:val="en-US" w:eastAsia="zh-CN"/>
        </w:rPr>
        <w:t>五</w:t>
      </w:r>
      <w:r>
        <w:rPr>
          <w:rFonts w:hint="eastAsia"/>
          <w:highlight w:val="none"/>
          <w:lang w:eastAsia="zh-CN"/>
        </w:rPr>
        <w:t>）</w:t>
      </w:r>
      <w:r>
        <w:rPr>
          <w:rFonts w:hint="eastAsia"/>
          <w:highlight w:val="none"/>
          <w:lang w:val="en-US" w:eastAsia="zh-CN"/>
        </w:rPr>
        <w:t>发票</w:t>
      </w:r>
    </w:p>
    <w:p w14:paraId="1E7F7E4E">
      <w:pPr>
        <w:ind w:firstLine="480"/>
        <w:rPr>
          <w:rFonts w:hint="default"/>
          <w:lang w:val="en-US" w:eastAsia="zh-CN"/>
        </w:rPr>
      </w:pPr>
      <w:r>
        <w:rPr>
          <w:rFonts w:hint="eastAsia"/>
          <w:lang w:val="en-US" w:eastAsia="zh-CN"/>
        </w:rPr>
        <w:t>每笔款项申请给付前，乙方应向甲方开具并交付足额、合规的增值税发票，甲方自收到发票后15日内，向乙方给付对应款项。</w:t>
      </w:r>
    </w:p>
    <w:p w14:paraId="421DE879">
      <w:pPr>
        <w:bidi w:val="0"/>
        <w:rPr>
          <w:rFonts w:hint="eastAsia"/>
          <w:b/>
          <w:bCs/>
        </w:rPr>
      </w:pPr>
      <w:r>
        <w:rPr>
          <w:rFonts w:hint="eastAsia"/>
          <w:b/>
          <w:bCs/>
        </w:rPr>
        <w:t>三、包装、运输及费用负担</w:t>
      </w:r>
    </w:p>
    <w:p w14:paraId="1C90E956">
      <w:pPr>
        <w:ind w:firstLine="480"/>
        <w:rPr>
          <w:rFonts w:hint="eastAsia"/>
        </w:rPr>
      </w:pPr>
      <w:r>
        <w:rPr>
          <w:rFonts w:hint="eastAsia"/>
        </w:rPr>
        <w:t>（一）按国家《产品包装通用技术条件》包装。</w:t>
      </w:r>
    </w:p>
    <w:p w14:paraId="5D309B4A">
      <w:pPr>
        <w:ind w:firstLine="480"/>
        <w:rPr>
          <w:rFonts w:hint="eastAsia"/>
        </w:rPr>
      </w:pPr>
      <w:r>
        <w:rPr>
          <w:rFonts w:hint="eastAsia"/>
        </w:rPr>
        <w:t xml:space="preserve">（二）乙方按照本合同货物清单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 </w:t>
      </w:r>
    </w:p>
    <w:p w14:paraId="75EB5FCE">
      <w:pPr>
        <w:ind w:firstLine="480"/>
      </w:pPr>
      <w:r>
        <w:rPr>
          <w:rFonts w:hint="eastAsia"/>
        </w:rPr>
        <w:t>（三）货物运输以及货物运输过程中的保险手续由乙方负责办理，货物在运输过程中产生的风险由乙方承担。</w:t>
      </w:r>
    </w:p>
    <w:p w14:paraId="0AE8A39D">
      <w:pPr>
        <w:ind w:firstLine="480"/>
        <w:rPr>
          <w:rFonts w:hint="eastAsia"/>
        </w:rPr>
      </w:pPr>
      <w:r>
        <w:rPr>
          <w:rFonts w:hint="eastAsia"/>
        </w:rPr>
        <w:t>（四）货物运输至甲方指定场地，费用由乙方承担，包括货物到甲方后的卸车费、搬运、安装费用。</w:t>
      </w:r>
    </w:p>
    <w:p w14:paraId="121E0710">
      <w:pPr>
        <w:ind w:firstLine="480"/>
        <w:rPr>
          <w:rFonts w:hint="eastAsia"/>
        </w:rPr>
      </w:pPr>
      <w:r>
        <w:rPr>
          <w:rFonts w:hint="eastAsia"/>
        </w:rPr>
        <w:t xml:space="preserve">（五）乙方承担产品交付甲方前的一切费用及风险（本条款所指交付是乙方将货物运送至甲方指定地点，并经甲方或甲方的最终用户验收合格并出具验收合格证明后视为交付）。 </w:t>
      </w:r>
    </w:p>
    <w:p w14:paraId="164DD081">
      <w:pPr>
        <w:bidi w:val="0"/>
        <w:rPr>
          <w:rFonts w:hint="eastAsia"/>
          <w:b/>
          <w:bCs/>
        </w:rPr>
      </w:pPr>
      <w:r>
        <w:rPr>
          <w:rFonts w:hint="eastAsia"/>
          <w:b/>
          <w:bCs/>
        </w:rPr>
        <w:t>四、检验与验收</w:t>
      </w:r>
    </w:p>
    <w:p w14:paraId="18FA8F57">
      <w:pPr>
        <w:bidi w:val="0"/>
      </w:pPr>
      <w:r>
        <w:rPr>
          <w:rFonts w:hint="eastAsia"/>
        </w:rPr>
        <w:t>（一）货到时，如包装有损，甲方应立即向承运方提出，并通知乙方确认商品情况。最终交付货物的颜色、材质应与中标时提供的样品/色卡一致，色差超过国家标准允许范围的，甲方有权拒收。</w:t>
      </w:r>
    </w:p>
    <w:p w14:paraId="01790626">
      <w:pPr>
        <w:bidi w:val="0"/>
      </w:pPr>
      <w:r>
        <w:rPr>
          <w:rFonts w:hint="eastAsia"/>
        </w:rPr>
        <w:t xml:space="preserve">（二）乙方完成合同范围的工作，并经自查符合合同要求后，以书面形式向甲方提出验收申请，由甲方组织相关部门进行验收，验收依据以本合同及附件规定为准。如果乙方提交的合同产品与本合同约定不符，则甲方有权要求乙方更换或退货，乙方应按照甲方的要求进行更换或退货并承担由此而产生的一切费用。  </w:t>
      </w:r>
    </w:p>
    <w:p w14:paraId="2F32D23E">
      <w:pPr>
        <w:ind w:firstLine="480"/>
        <w:rPr>
          <w:rFonts w:hint="eastAsia"/>
        </w:rPr>
      </w:pPr>
      <w:r>
        <w:rPr>
          <w:rFonts w:hint="eastAsia"/>
        </w:rPr>
        <w:t>（三）验收标准（收货验收）：除非另有约定，甲方将依据本合同货物清单、厂家出厂标准以及乙方的保证与承诺进行验收。如遇货物变更、停产、升级，乙方需向甲方提供合理支撑材料并提交变更申请。</w:t>
      </w:r>
    </w:p>
    <w:p w14:paraId="2E2B7446">
      <w:pPr>
        <w:ind w:firstLine="480"/>
        <w:rPr>
          <w:rFonts w:hint="eastAsia"/>
        </w:rPr>
      </w:pPr>
      <w:r>
        <w:rPr>
          <w:rFonts w:hint="eastAsia"/>
        </w:rPr>
        <w:t>（四）甲方收货验收并不免除乙方对合同产品质量应当承担的责任，如果甲方在使用或销售合同产品或含有合同产品的产品时发现因合同产品在设计、安装、制造、材料、工艺等方面的缺陷导致的任何质量问题，乙方仍应承担责任。</w:t>
      </w:r>
    </w:p>
    <w:p w14:paraId="123CAF8F">
      <w:pPr>
        <w:ind w:firstLine="480"/>
        <w:rPr>
          <w:rFonts w:hint="eastAsia"/>
        </w:rPr>
      </w:pPr>
      <w:r>
        <w:rPr>
          <w:rFonts w:hint="eastAsia"/>
        </w:rPr>
        <w:t>（五）如本合同所采购的产品因其自身特点导致甲方无法在验收当时发现其质量问题、设计、安装、制造、材料、工艺等缺陷，则甲方应享有合理的适用或测试使用期间</w:t>
      </w:r>
      <w:r>
        <w:rPr>
          <w:rFonts w:hint="eastAsia"/>
          <w:lang w:eastAsia="zh-CN"/>
        </w:rPr>
        <w:t>【】</w:t>
      </w:r>
      <w:r>
        <w:rPr>
          <w:rFonts w:hint="eastAsia"/>
          <w:lang w:val="en-US" w:eastAsia="zh-CN"/>
        </w:rPr>
        <w:t>天</w:t>
      </w:r>
      <w:r>
        <w:rPr>
          <w:rFonts w:hint="eastAsia"/>
        </w:rPr>
        <w:t>，如在该期间内发现上述产品问题，则乙方应无条件为甲方提供换货或退货处理，并承担由此给甲方造成的损失</w:t>
      </w:r>
      <w:r>
        <w:rPr>
          <w:rFonts w:hint="eastAsia"/>
          <w:lang w:eastAsia="zh-CN"/>
        </w:rPr>
        <w:t>，</w:t>
      </w:r>
      <w:r>
        <w:rPr>
          <w:rFonts w:hint="eastAsia"/>
        </w:rPr>
        <w:t>在此种情况下乙方无权以甲方已签收作为已交付合格产品的抗辩。</w:t>
      </w:r>
    </w:p>
    <w:p w14:paraId="2BA24BE5">
      <w:pPr>
        <w:ind w:firstLine="480"/>
        <w:rPr>
          <w:rFonts w:hint="eastAsia"/>
        </w:rPr>
      </w:pPr>
      <w:r>
        <w:rPr>
          <w:rFonts w:hint="eastAsia"/>
        </w:rPr>
        <w:t>（六）因本合同产品质量存在缺陷造成人身、财产损害或者给甲方造成不良影响的，甲方有权要求乙方单独承担赔偿责任，乙方不得以非实际责任人进行抗辩，但乙方有权在赔偿后向生产者或其他实际责任人追偿。</w:t>
      </w:r>
    </w:p>
    <w:p w14:paraId="043B24DE">
      <w:pPr>
        <w:ind w:firstLine="480"/>
        <w:rPr>
          <w:rFonts w:hint="eastAsia"/>
        </w:rPr>
      </w:pPr>
      <w:r>
        <w:rPr>
          <w:rFonts w:hint="eastAsia"/>
          <w:lang w:eastAsia="zh-CN"/>
        </w:rPr>
        <w:t>（</w:t>
      </w:r>
      <w:r>
        <w:rPr>
          <w:rFonts w:hint="eastAsia"/>
          <w:lang w:val="en-US" w:eastAsia="zh-CN"/>
        </w:rPr>
        <w:t>七）乙方在进行电路改造前，须向甲方提交施工方案并经甲方审核同意。合同履行过程中造成的一切安全事故、财产损失及第三人损害，由乙方承担全部法律责任及赔偿责任。</w:t>
      </w:r>
      <w:r>
        <w:rPr>
          <w:rFonts w:hint="eastAsia"/>
        </w:rPr>
        <w:t xml:space="preserve"> </w:t>
      </w:r>
    </w:p>
    <w:p w14:paraId="585E98BF">
      <w:pPr>
        <w:bidi w:val="0"/>
        <w:rPr>
          <w:rFonts w:hint="eastAsia"/>
          <w:b/>
          <w:bCs/>
        </w:rPr>
      </w:pPr>
      <w:r>
        <w:rPr>
          <w:rFonts w:hint="eastAsia"/>
          <w:b/>
          <w:bCs/>
        </w:rPr>
        <w:t xml:space="preserve">五、服务与保修  </w:t>
      </w:r>
    </w:p>
    <w:p w14:paraId="3BD32790">
      <w:pPr>
        <w:ind w:firstLine="480"/>
        <w:rPr>
          <w:rFonts w:hint="eastAsia"/>
        </w:rPr>
      </w:pPr>
      <w:r>
        <w:rPr>
          <w:rFonts w:hint="eastAsia"/>
        </w:rPr>
        <w:t>（一）甲方在全部货物抵达现场前【   】个工作日内与乙方联系，约定安装调试日期，并在约定日期前根据乙方提供的货物安装条件准备好水电，由乙方派专人到现场进行安装调试，并就货物的安装、启动、运行及维护等对甲方人员进行免费培训。</w:t>
      </w:r>
    </w:p>
    <w:p w14:paraId="37DF506A">
      <w:pPr>
        <w:ind w:firstLine="480"/>
        <w:rPr>
          <w:rFonts w:hint="eastAsia"/>
        </w:rPr>
      </w:pPr>
      <w:r>
        <w:rPr>
          <w:rFonts w:hint="eastAsia"/>
        </w:rPr>
        <w:t>（二）乙方承诺对合同产品提供【   】年免费保修服务。该免费保修期自甲方最终验收合格之日起开始起算，免费保修期</w:t>
      </w:r>
      <w:r>
        <w:rPr>
          <w:rFonts w:hint="eastAsia"/>
          <w:highlight w:val="none"/>
        </w:rPr>
        <w:t>届满后，甲方仍有权要求乙方承担标的物的有偿维修责任，乙方应按照公允、成本的价格提供维修保养服务。</w:t>
      </w:r>
      <w:r>
        <w:rPr>
          <w:rFonts w:hint="eastAsia" w:asciiTheme="minorHAnsi" w:hAnsiTheme="minorHAnsi" w:eastAsiaTheme="minorEastAsia" w:cstheme="minorBidi"/>
          <w:kern w:val="2"/>
          <w:sz w:val="21"/>
          <w:szCs w:val="24"/>
          <w:lang w:val="en-US" w:eastAsia="en-US" w:bidi="ar-SA"/>
        </w:rPr>
        <w:t>保修期内，乙方应指定至少1名专职技术人员作为本项目专属联络员，提供7×24小时电话响应服务。如需现场支持，该人员应在接到通知后2小时内到达现场</w:t>
      </w:r>
      <w:r>
        <w:rPr>
          <w:rFonts w:hint="eastAsia" w:asciiTheme="minorHAnsi" w:hAnsiTheme="minorHAnsi" w:eastAsiaTheme="minorEastAsia" w:cstheme="minorBidi"/>
          <w:kern w:val="2"/>
          <w:sz w:val="21"/>
          <w:szCs w:val="24"/>
          <w:lang w:val="en-US" w:eastAsia="zh-CN" w:bidi="ar-SA"/>
        </w:rPr>
        <w:t>，</w:t>
      </w:r>
      <w:r>
        <w:rPr>
          <w:rFonts w:hint="eastAsia"/>
        </w:rPr>
        <w:t>4小时排除故障（如需更换配件12小时内完成）</w:t>
      </w:r>
      <w:r>
        <w:rPr>
          <w:rFonts w:hint="eastAsia" w:asciiTheme="minorHAnsi" w:hAnsiTheme="minorHAnsi" w:eastAsiaTheme="minorEastAsia" w:cstheme="minorBidi"/>
          <w:kern w:val="2"/>
          <w:sz w:val="21"/>
          <w:szCs w:val="24"/>
          <w:lang w:val="en-US" w:eastAsia="en-US" w:bidi="ar-SA"/>
        </w:rPr>
        <w:t>。若故障频发，乙方应增派人员常驻学院直至问题解决。</w:t>
      </w:r>
    </w:p>
    <w:p w14:paraId="638CCCC6">
      <w:pPr>
        <w:ind w:firstLine="480"/>
        <w:rPr>
          <w:rFonts w:hint="eastAsia"/>
          <w:highlight w:val="none"/>
        </w:rPr>
      </w:pPr>
      <w:r>
        <w:rPr>
          <w:rFonts w:hint="eastAsia"/>
          <w:highlight w:val="none"/>
        </w:rPr>
        <w:t>（三）乙方应建立相应的备品、备件库，以保证甲方的设备在免费保修期内的正常运行。乙方保证验收后向甲方提供最少【   】年的备品备件供应保证。</w:t>
      </w:r>
    </w:p>
    <w:p w14:paraId="5AE54275">
      <w:pPr>
        <w:bidi w:val="0"/>
        <w:rPr>
          <w:rFonts w:hint="eastAsia"/>
          <w:b/>
          <w:bCs/>
          <w:highlight w:val="none"/>
        </w:rPr>
      </w:pPr>
      <w:r>
        <w:rPr>
          <w:rFonts w:hint="eastAsia"/>
          <w:b/>
          <w:bCs/>
          <w:highlight w:val="none"/>
        </w:rPr>
        <w:t xml:space="preserve">六、品质和保证  </w:t>
      </w:r>
    </w:p>
    <w:p w14:paraId="25A39A80">
      <w:pPr>
        <w:ind w:firstLine="480"/>
        <w:rPr>
          <w:rFonts w:hint="eastAsia"/>
        </w:rPr>
      </w:pPr>
      <w:r>
        <w:rPr>
          <w:rFonts w:hint="eastAsia"/>
          <w:highlight w:val="none"/>
        </w:rPr>
        <w:t>（一）乙方保证其提供的合同产品符合国家标准、行业标准以</w:t>
      </w:r>
      <w:r>
        <w:rPr>
          <w:rFonts w:hint="eastAsia"/>
        </w:rPr>
        <w:t>及乙方产品说明书中所载明的产品功能和性能以及双方约定的其它质量标准（详见货物清单）。前述产品说明书中包含排除乙方法定或约定义务内容的，或该说明书中承诺的质量标准低于国家或行业标准的，均属无效；</w:t>
      </w:r>
      <w:r>
        <w:rPr>
          <w:rFonts w:hint="eastAsia"/>
          <w:b/>
          <w:bCs/>
        </w:rPr>
        <w:t xml:space="preserve">除非甲方明确书面同意接受，否则本合同附属、补充文件约定及产品支持文件中规定的乙方责任限制条款不适用于甲方。 </w:t>
      </w:r>
    </w:p>
    <w:p w14:paraId="7833C38F">
      <w:pPr>
        <w:ind w:firstLine="480"/>
        <w:rPr>
          <w:rFonts w:hint="eastAsia"/>
        </w:rPr>
      </w:pPr>
      <w:r>
        <w:rPr>
          <w:rFonts w:hint="eastAsia"/>
        </w:rPr>
        <w:t xml:space="preserve">（二）乙方保证提供的产品能够使甲方实现合同目的并满足甲方需求。 </w:t>
      </w:r>
    </w:p>
    <w:p w14:paraId="1D332F76">
      <w:pPr>
        <w:ind w:firstLine="480"/>
        <w:rPr>
          <w:rFonts w:hint="eastAsia"/>
        </w:rPr>
      </w:pPr>
      <w:r>
        <w:rPr>
          <w:rFonts w:hint="eastAsia"/>
        </w:rPr>
        <w:t xml:space="preserve">（三）乙方向甲方做出下列陈述和保证：  </w:t>
      </w:r>
    </w:p>
    <w:p w14:paraId="5109A5A9">
      <w:pPr>
        <w:ind w:firstLine="480"/>
        <w:rPr>
          <w:rFonts w:hint="eastAsia"/>
        </w:rPr>
      </w:pPr>
      <w:r>
        <w:rPr>
          <w:rFonts w:hint="eastAsia"/>
        </w:rPr>
        <w:t xml:space="preserve">1.其所提供的合同产品为产品原始生产厂家生产和制造。 </w:t>
      </w:r>
    </w:p>
    <w:p w14:paraId="4D1A0E1C">
      <w:pPr>
        <w:ind w:firstLine="480"/>
        <w:rPr>
          <w:rFonts w:hint="eastAsia"/>
        </w:rPr>
      </w:pPr>
      <w:r>
        <w:rPr>
          <w:rFonts w:hint="eastAsia"/>
        </w:rPr>
        <w:t xml:space="preserve">2.合同产品及其各部件为全新的、未使用过的，合同产品中的软件部分（如有）无病毒、无明显错误，能够充分实现、提供、具备相关产品说明中描述的功能、特点、内容和标准等。  </w:t>
      </w:r>
    </w:p>
    <w:p w14:paraId="47972543">
      <w:pPr>
        <w:ind w:firstLine="480"/>
        <w:rPr>
          <w:rFonts w:hint="eastAsia"/>
        </w:rPr>
      </w:pPr>
      <w:r>
        <w:rPr>
          <w:rFonts w:hint="eastAsia"/>
        </w:rPr>
        <w:t>3.合同产品没有设计或制造上的缺陷，并且根据产品的情况提供了适当的警示说明。</w:t>
      </w:r>
    </w:p>
    <w:p w14:paraId="67EB1401">
      <w:pPr>
        <w:bidi w:val="0"/>
        <w:rPr>
          <w:rFonts w:hint="eastAsia"/>
          <w:b/>
          <w:bCs/>
        </w:rPr>
      </w:pPr>
      <w:r>
        <w:rPr>
          <w:rFonts w:hint="eastAsia"/>
          <w:b/>
          <w:bCs/>
        </w:rPr>
        <w:t xml:space="preserve">七、所有权及知识产权  </w:t>
      </w:r>
    </w:p>
    <w:p w14:paraId="3300A047">
      <w:pPr>
        <w:ind w:firstLine="480"/>
        <w:rPr>
          <w:rFonts w:hint="eastAsia"/>
        </w:rPr>
      </w:pPr>
      <w:r>
        <w:rPr>
          <w:rFonts w:hint="eastAsia"/>
        </w:rPr>
        <w:t>乙方保证对其依据本合同向甲方所交付的合同产品拥有合法的所有权、知识产权及其它权益，保证不侵犯任何第三方合法的所有权、知识产权及其它任何权益，否则，由此产生的一切责任由乙方承担，并保证不使甲方受到任何损害。反之，甲方有权向乙方追偿。若因乙方提供的货物侵犯第三方知识产权，导致甲方被起诉或索赔，乙方应负责处理并承担所有费用（包括律师费、</w:t>
      </w:r>
      <w:r>
        <w:rPr>
          <w:rFonts w:hint="eastAsia"/>
          <w:lang w:val="en-US" w:eastAsia="zh-CN"/>
        </w:rPr>
        <w:t>保全保险费</w:t>
      </w:r>
      <w:r>
        <w:rPr>
          <w:rFonts w:hint="eastAsia"/>
        </w:rPr>
        <w:t>、</w:t>
      </w:r>
      <w:r>
        <w:rPr>
          <w:rFonts w:hint="eastAsia"/>
          <w:lang w:val="en-US" w:eastAsia="zh-CN"/>
        </w:rPr>
        <w:t>鉴定评估费、</w:t>
      </w:r>
      <w:r>
        <w:rPr>
          <w:rFonts w:hint="eastAsia"/>
        </w:rPr>
        <w:t>赔偿金等），并确保甲方能继续使用该货物或提供同等功能的替代品。</w:t>
      </w:r>
    </w:p>
    <w:p w14:paraId="76A27CFE">
      <w:pPr>
        <w:ind w:firstLine="480"/>
        <w:rPr>
          <w:rFonts w:hint="eastAsia"/>
        </w:rPr>
      </w:pPr>
      <w:r>
        <w:rPr>
          <w:rFonts w:hint="eastAsia"/>
        </w:rPr>
        <w:t>乙方授予甲方对本项目所涉管理软件、控制软件的永久、不可撤销的使用权，并免费提供后续版本升级服务。乙方承诺其提供的系统及软件符合《中华人民共和国网络安全法》《中华人民共和国数据安全法》及《中华人民共和国个人信息保护法》的要求。乙方应采取加密存储、访问控制等技术措施保障用户数据安全。若因乙方系统漏洞、维护不当导致数据泄露、丢失或被非法利用，乙方应承担全部法律责任，并赔偿甲方因此遭受的一切损失（包括但不限于对第三方的赔偿、行政罚款、律师费等）。</w:t>
      </w:r>
    </w:p>
    <w:p w14:paraId="269DEE3D">
      <w:pPr>
        <w:bidi w:val="0"/>
        <w:rPr>
          <w:rFonts w:hint="eastAsia"/>
          <w:b/>
          <w:bCs/>
        </w:rPr>
      </w:pPr>
      <w:r>
        <w:rPr>
          <w:rFonts w:hint="eastAsia"/>
          <w:b/>
          <w:bCs/>
        </w:rPr>
        <w:t xml:space="preserve">八、保密信息  </w:t>
      </w:r>
    </w:p>
    <w:p w14:paraId="678D0908">
      <w:pPr>
        <w:ind w:firstLine="480"/>
        <w:rPr>
          <w:rFonts w:hint="eastAsia"/>
        </w:rPr>
      </w:pPr>
      <w:r>
        <w:rPr>
          <w:rFonts w:hint="eastAsia"/>
        </w:rPr>
        <w:t>任何一方应对本合同履行过程中所知悉的双方的知识产权、商业秘密、技术成果、经营计划和战略、客户信息及其它非技术性信息承担保密义务。未经对方书面同意，任何一方不得向社会公众或第三方通过任何途径出示、泄露，不得对上述信息进行复制、传播和销售。双方应采取适当措施约束其员工履行保密义务。本条所约定的双方承担保密义务不因本合同履行完毕而失效。</w:t>
      </w:r>
    </w:p>
    <w:p w14:paraId="0E0A9735">
      <w:pPr>
        <w:bidi w:val="0"/>
        <w:rPr>
          <w:rFonts w:hint="eastAsia"/>
          <w:b/>
          <w:bCs/>
        </w:rPr>
      </w:pPr>
      <w:r>
        <w:rPr>
          <w:rFonts w:hint="eastAsia"/>
          <w:b/>
          <w:bCs/>
          <w:lang w:val="en-US" w:eastAsia="zh-CN"/>
        </w:rPr>
        <w:t>九</w:t>
      </w:r>
      <w:r>
        <w:rPr>
          <w:rFonts w:hint="eastAsia"/>
          <w:b/>
          <w:bCs/>
        </w:rPr>
        <w:t>、违约责任与解决方式</w:t>
      </w:r>
    </w:p>
    <w:p w14:paraId="753494C1">
      <w:pPr>
        <w:ind w:firstLine="480"/>
      </w:pPr>
      <w:r>
        <w:rPr>
          <w:rFonts w:hint="eastAsia"/>
        </w:rPr>
        <w:t>双方必须依据《中华人民共和国民法典》执行本合同。出现如下情况下，双方需承担的违约责任：</w:t>
      </w:r>
    </w:p>
    <w:p w14:paraId="505E1F7C">
      <w:pPr>
        <w:ind w:firstLine="480"/>
      </w:pPr>
      <w:r>
        <w:rPr>
          <w:rFonts w:hint="eastAsia"/>
        </w:rPr>
        <w:t>（一）甲乙双方一经签订合同，不得无故终止合同，任何一方违约，必须按该合同总价款的【   】%支付违约金，同时赔偿守约方因此而受到的合理损失。</w:t>
      </w:r>
    </w:p>
    <w:p w14:paraId="29F5DE88">
      <w:pPr>
        <w:ind w:firstLine="480"/>
      </w:pPr>
      <w:r>
        <w:rPr>
          <w:rFonts w:hint="eastAsia"/>
        </w:rPr>
        <w:t>（二）如一方有违背本合同承诺，守约方在此后的任何时间可向违约方发出书面通知，如在该通知发出30天内违约方没有改正措施，则守约方可以终止本合同的执行，并要求违约方赔偿守约方因此而受到的全部损失（包括</w:t>
      </w:r>
      <w:r>
        <w:rPr>
          <w:rFonts w:hint="eastAsia"/>
          <w:lang w:val="en-US" w:eastAsia="zh-CN"/>
        </w:rPr>
        <w:t>但不限于</w:t>
      </w:r>
      <w:r>
        <w:rPr>
          <w:rFonts w:hint="eastAsia"/>
        </w:rPr>
        <w:t>另行采购的差价损失</w:t>
      </w:r>
      <w:r>
        <w:rPr>
          <w:rFonts w:hint="eastAsia"/>
          <w:lang w:eastAsia="zh-CN"/>
        </w:rPr>
        <w:t>、</w:t>
      </w:r>
      <w:r>
        <w:rPr>
          <w:rFonts w:hint="eastAsia"/>
        </w:rPr>
        <w:t>律师费、</w:t>
      </w:r>
      <w:r>
        <w:rPr>
          <w:rFonts w:hint="eastAsia"/>
          <w:lang w:val="en-US" w:eastAsia="zh-CN"/>
        </w:rPr>
        <w:t>保全保险费</w:t>
      </w:r>
      <w:r>
        <w:rPr>
          <w:rFonts w:hint="eastAsia"/>
        </w:rPr>
        <w:t>、</w:t>
      </w:r>
      <w:r>
        <w:rPr>
          <w:rFonts w:hint="eastAsia"/>
          <w:lang w:val="en-US" w:eastAsia="zh-CN"/>
        </w:rPr>
        <w:t>鉴定评估费、公证费</w:t>
      </w:r>
      <w:r>
        <w:rPr>
          <w:rFonts w:hint="eastAsia"/>
        </w:rPr>
        <w:t>等）。</w:t>
      </w:r>
    </w:p>
    <w:p w14:paraId="17286C23">
      <w:pPr>
        <w:ind w:firstLine="480"/>
        <w:rPr>
          <w:rFonts w:hint="eastAsia"/>
        </w:rPr>
      </w:pPr>
      <w:r>
        <w:rPr>
          <w:rFonts w:hint="eastAsia"/>
        </w:rPr>
        <w:t>（三）乙方应按本合同约定的时间完成全部任务，约定时间内未完成的，甲方有权单方终止本合同，乙方除退还甲方已支付的金额外，还应按如下第【   】条款规定进行赔付。</w:t>
      </w:r>
    </w:p>
    <w:p w14:paraId="6E26BB6C">
      <w:pPr>
        <w:ind w:firstLine="480"/>
        <w:rPr>
          <w:rFonts w:hint="eastAsia"/>
        </w:rPr>
      </w:pPr>
      <w:r>
        <w:rPr>
          <w:rFonts w:hint="eastAsia"/>
        </w:rPr>
        <w:t>1.每逾期一日，乙方按该合同结算总价款上限的</w:t>
      </w:r>
      <w:r>
        <w:rPr>
          <w:rFonts w:hint="eastAsia"/>
          <w:lang w:val="en-US" w:eastAsia="zh-CN"/>
        </w:rPr>
        <w:t>1</w:t>
      </w:r>
      <w:r>
        <w:rPr>
          <w:rFonts w:hint="eastAsia"/>
        </w:rPr>
        <w:t>‰支付违约金，逾期超过【   】   天，甲方有权解除本合同。乙方除退还已收款项外，还应支付合同总价款【</w:t>
      </w:r>
      <w:r>
        <w:rPr>
          <w:rFonts w:hint="eastAsia"/>
          <w:lang w:val="en-US" w:eastAsia="zh-CN"/>
        </w:rPr>
        <w:t xml:space="preserve"> </w:t>
      </w:r>
      <w:r>
        <w:rPr>
          <w:rFonts w:hint="eastAsia"/>
        </w:rPr>
        <w:t>】</w:t>
      </w:r>
      <w:r>
        <w:rPr>
          <w:rFonts w:hint="eastAsia"/>
          <w:lang w:val="en-US" w:eastAsia="zh-CN"/>
        </w:rPr>
        <w:t>%</w:t>
      </w:r>
      <w:r>
        <w:rPr>
          <w:rFonts w:hint="eastAsia"/>
        </w:rPr>
        <w:t>的违约金，并赔偿甲方因此遭受的损失（包括但不限于另行采购的差价损失</w:t>
      </w:r>
      <w:r>
        <w:rPr>
          <w:rFonts w:hint="eastAsia"/>
          <w:lang w:eastAsia="zh-CN"/>
        </w:rPr>
        <w:t>、</w:t>
      </w:r>
      <w:r>
        <w:rPr>
          <w:rFonts w:hint="eastAsia"/>
        </w:rPr>
        <w:t>律师费、</w:t>
      </w:r>
      <w:r>
        <w:rPr>
          <w:rFonts w:hint="eastAsia"/>
          <w:lang w:val="en-US" w:eastAsia="zh-CN"/>
        </w:rPr>
        <w:t>保全保险费</w:t>
      </w:r>
      <w:r>
        <w:rPr>
          <w:rFonts w:hint="eastAsia"/>
        </w:rPr>
        <w:t>、</w:t>
      </w:r>
      <w:r>
        <w:rPr>
          <w:rFonts w:hint="eastAsia"/>
          <w:lang w:val="en-US" w:eastAsia="zh-CN"/>
        </w:rPr>
        <w:t>鉴定评估费、公证费</w:t>
      </w:r>
      <w:r>
        <w:rPr>
          <w:rFonts w:hint="eastAsia"/>
        </w:rPr>
        <w:t>等）。</w:t>
      </w:r>
    </w:p>
    <w:p w14:paraId="0FDBCE57">
      <w:pPr>
        <w:ind w:firstLine="480"/>
      </w:pPr>
      <w:r>
        <w:rPr>
          <w:rFonts w:hint="eastAsia"/>
        </w:rPr>
        <w:t>2.逾期未完成的，乙方按该合同结算总价款上限的</w:t>
      </w:r>
      <w:r>
        <w:rPr>
          <w:rFonts w:hint="eastAsia"/>
          <w:lang w:val="en-US" w:eastAsia="zh-CN"/>
        </w:rPr>
        <w:t>30</w:t>
      </w:r>
      <w:r>
        <w:rPr>
          <w:rFonts w:hint="eastAsia"/>
        </w:rPr>
        <w:t>%赔付。</w:t>
      </w:r>
    </w:p>
    <w:p w14:paraId="7EEBF7C4">
      <w:pPr>
        <w:ind w:firstLine="480"/>
        <w:rPr>
          <w:rFonts w:hint="eastAsia"/>
        </w:rPr>
      </w:pPr>
      <w:r>
        <w:rPr>
          <w:rFonts w:hint="eastAsia"/>
        </w:rPr>
        <w:t>（四）合同实施或与合同有关的一切争端应通过双方协商解决。如果协商后还不能解决争端，任何一方均有权向甲方所在地人民法院提请诉讼。</w:t>
      </w:r>
    </w:p>
    <w:p w14:paraId="1258F688">
      <w:pPr>
        <w:bidi w:val="0"/>
        <w:rPr>
          <w:rFonts w:hint="eastAsia"/>
          <w:b/>
          <w:bCs/>
        </w:rPr>
      </w:pPr>
      <w:r>
        <w:rPr>
          <w:rFonts w:hint="eastAsia"/>
          <w:b/>
          <w:bCs/>
        </w:rPr>
        <w:t>十、不可抗力</w:t>
      </w:r>
    </w:p>
    <w:p w14:paraId="5EB2DD97">
      <w:pPr>
        <w:ind w:firstLine="480"/>
        <w:rPr>
          <w:rFonts w:hint="eastAsia"/>
        </w:rPr>
      </w:pPr>
      <w:r>
        <w:rPr>
          <w:rFonts w:hint="eastAsia"/>
        </w:rPr>
        <w:t>（一）不可抗力系指双方在缔结协议时不能预见、并且它的发生及后果是不能克服和不能避免的客观情况，不可抗力包括战争、地震、动乱、空中飞行物体坠落或其他非甲方或乙方责任造成的爆炸、火灾。</w:t>
      </w:r>
    </w:p>
    <w:p w14:paraId="7A5AC24B">
      <w:pPr>
        <w:ind w:firstLine="480"/>
        <w:rPr>
          <w:rFonts w:hint="eastAsia"/>
        </w:rPr>
      </w:pPr>
      <w:r>
        <w:rPr>
          <w:rFonts w:hint="eastAsia"/>
        </w:rPr>
        <w:t xml:space="preserve">除法律另有规定外，一方因不可抗力不能履行合同或不能完全履行合同的，根据不可抗力的影响，可以部分或全部地免除责任。由于不可抗力原因致使合同无法履行时，无法履行合同义务的一方应以合理方式立即将不能履行合同的事实通知另一方，并在不可抗力事件发生后15天内用特快专递向对方发出事件发生地点有关政府部门、公证机关出具的证明，以证实不可抗力的存在；如因一方怠于通知而造成另一方损失或损失扩大的，则怠于通知的一方应负责赔偿另一方的相应损失。 </w:t>
      </w:r>
    </w:p>
    <w:p w14:paraId="1A0B4DB3">
      <w:pPr>
        <w:snapToGrid w:val="0"/>
        <w:spacing w:line="500" w:lineRule="exact"/>
        <w:ind w:firstLine="480"/>
        <w:jc w:val="left"/>
        <w:rPr>
          <w:rFonts w:hint="eastAsia"/>
        </w:rPr>
      </w:pPr>
      <w:r>
        <w:rPr>
          <w:rFonts w:hint="eastAsia"/>
        </w:rPr>
        <w:t>（二）</w:t>
      </w:r>
      <w:r>
        <w:t>一方迟延履行后发生不可抗力的，不能免除责任。</w:t>
      </w:r>
      <w:r>
        <w:rPr>
          <w:rFonts w:hint="eastAsia"/>
        </w:rPr>
        <w:t xml:space="preserve"> </w:t>
      </w:r>
    </w:p>
    <w:p w14:paraId="2735E2EF">
      <w:pPr>
        <w:bidi w:val="0"/>
        <w:rPr>
          <w:rFonts w:hint="eastAsia"/>
          <w:b/>
          <w:bCs/>
        </w:rPr>
      </w:pPr>
      <w:r>
        <w:rPr>
          <w:rFonts w:hint="eastAsia"/>
          <w:b/>
          <w:bCs/>
        </w:rPr>
        <w:t>十</w:t>
      </w:r>
      <w:r>
        <w:rPr>
          <w:rFonts w:hint="eastAsia"/>
          <w:b/>
          <w:bCs/>
          <w:lang w:val="en-US" w:eastAsia="zh-CN"/>
        </w:rPr>
        <w:t>一</w:t>
      </w:r>
      <w:r>
        <w:rPr>
          <w:rFonts w:hint="eastAsia"/>
          <w:b/>
          <w:bCs/>
        </w:rPr>
        <w:t>、其他约定事项</w:t>
      </w:r>
    </w:p>
    <w:p w14:paraId="5C2D4B47">
      <w:pPr>
        <w:ind w:firstLine="480"/>
        <w:rPr>
          <w:rFonts w:hint="eastAsia"/>
        </w:rPr>
      </w:pPr>
      <w:r>
        <w:rPr>
          <w:rFonts w:hint="eastAsia"/>
        </w:rPr>
        <w:t>（一）下列文件为本合同的组成部分，并构成一个整体，需综合解释、相互补充。如果下列文件内容出现不一致的情形，那么在保证按照采购文件确定的事项的前提下，组成本合同的多个文件的优先适用顺序如下：</w:t>
      </w:r>
    </w:p>
    <w:p w14:paraId="62D8A773">
      <w:pPr>
        <w:ind w:leftChars="300" w:firstLine="480"/>
        <w:rPr>
          <w:rFonts w:hint="eastAsia"/>
        </w:rPr>
      </w:pPr>
      <w:r>
        <w:rPr>
          <w:rFonts w:hint="eastAsia"/>
        </w:rPr>
        <w:t>1.本合同及其附件、补充合同、变更协议；</w:t>
      </w:r>
    </w:p>
    <w:p w14:paraId="3AE87DEA">
      <w:pPr>
        <w:ind w:leftChars="300" w:firstLine="480"/>
        <w:rPr>
          <w:rFonts w:hint="eastAsia"/>
        </w:rPr>
      </w:pPr>
      <w:r>
        <w:rPr>
          <w:rFonts w:hint="eastAsia"/>
        </w:rPr>
        <w:t>2.中标或者成交通知书；</w:t>
      </w:r>
    </w:p>
    <w:p w14:paraId="459B4FE3">
      <w:pPr>
        <w:ind w:leftChars="300" w:firstLine="480"/>
        <w:rPr>
          <w:rFonts w:hint="eastAsia"/>
        </w:rPr>
      </w:pPr>
      <w:r>
        <w:rPr>
          <w:rFonts w:hint="eastAsia"/>
        </w:rPr>
        <w:t>3.投标或者响应文件（含澄清或者说明文件）；</w:t>
      </w:r>
    </w:p>
    <w:p w14:paraId="744AD23F">
      <w:pPr>
        <w:ind w:leftChars="300" w:firstLine="480"/>
        <w:rPr>
          <w:rFonts w:hint="eastAsia"/>
        </w:rPr>
      </w:pPr>
      <w:r>
        <w:rPr>
          <w:rFonts w:hint="eastAsia"/>
        </w:rPr>
        <w:t>4.采购文件（含澄清或者修改文件）；</w:t>
      </w:r>
    </w:p>
    <w:p w14:paraId="7CB63144">
      <w:pPr>
        <w:ind w:leftChars="300" w:firstLine="480"/>
        <w:rPr>
          <w:rFonts w:hint="eastAsia"/>
        </w:rPr>
      </w:pPr>
      <w:r>
        <w:rPr>
          <w:rFonts w:hint="eastAsia"/>
        </w:rPr>
        <w:t>5.其他相关采购文件。</w:t>
      </w:r>
    </w:p>
    <w:p w14:paraId="099112C5">
      <w:pPr>
        <w:ind w:firstLine="480"/>
        <w:rPr>
          <w:rFonts w:hint="eastAsia"/>
        </w:rPr>
      </w:pPr>
      <w:r>
        <w:rPr>
          <w:rFonts w:hint="eastAsia"/>
        </w:rPr>
        <w:t>（二）本合同自双方代表签字</w:t>
      </w:r>
      <w:r>
        <w:rPr>
          <w:rFonts w:hint="eastAsia"/>
          <w:lang w:val="en-US" w:eastAsia="zh-CN"/>
        </w:rPr>
        <w:t>并加盖</w:t>
      </w:r>
      <w:r>
        <w:rPr>
          <w:rFonts w:hint="eastAsia"/>
        </w:rPr>
        <w:t>单位</w:t>
      </w:r>
      <w:r>
        <w:rPr>
          <w:rFonts w:hint="eastAsia"/>
          <w:lang w:val="en-US" w:eastAsia="zh-CN"/>
        </w:rPr>
        <w:t>公章之日起</w:t>
      </w:r>
      <w:r>
        <w:rPr>
          <w:rFonts w:hint="eastAsia"/>
        </w:rPr>
        <w:t>生效。</w:t>
      </w:r>
    </w:p>
    <w:p w14:paraId="7E4BF6ED">
      <w:pPr>
        <w:ind w:firstLine="480"/>
        <w:rPr>
          <w:rFonts w:hint="eastAsia"/>
        </w:rPr>
      </w:pPr>
      <w:r>
        <w:rPr>
          <w:rFonts w:hint="eastAsia"/>
        </w:rPr>
        <w:t>（三）本合同一经签订，甲乙双方不得擅自变更、中止或终止合同。</w:t>
      </w:r>
    </w:p>
    <w:p w14:paraId="553B7A67">
      <w:pPr>
        <w:ind w:firstLine="480"/>
        <w:rPr>
          <w:rFonts w:hint="eastAsia"/>
        </w:rPr>
      </w:pPr>
      <w:r>
        <w:rPr>
          <w:rFonts w:hint="eastAsia"/>
        </w:rPr>
        <w:t>（四）未经甲方书面同意，乙方不得擅自部分或全部转让其应履行的合同义务。</w:t>
      </w:r>
    </w:p>
    <w:p w14:paraId="70DC6CD6">
      <w:pPr>
        <w:ind w:firstLine="480"/>
      </w:pPr>
      <w:r>
        <w:rPr>
          <w:rFonts w:hint="eastAsia"/>
        </w:rPr>
        <w:t>（五）本合同一式伍份，甲方执两份，乙方执一份。</w:t>
      </w:r>
    </w:p>
    <w:p w14:paraId="48467AE4">
      <w:pPr>
        <w:ind w:firstLine="480"/>
      </w:pPr>
      <w:r>
        <w:rPr>
          <w:rFonts w:hint="eastAsia"/>
        </w:rPr>
        <w:t>（六）本合同未尽事宜，由双方友好协商解决。</w:t>
      </w:r>
    </w:p>
    <w:p w14:paraId="3C3D2A69">
      <w:pPr>
        <w:ind w:firstLine="480"/>
        <w:rPr>
          <w:rFonts w:ascii="仿宋_GB2312" w:hAnsi="宋体" w:eastAsia="仿宋_GB2312"/>
        </w:rPr>
      </w:pPr>
    </w:p>
    <w:p w14:paraId="7FE23220">
      <w:pPr>
        <w:spacing w:line="400" w:lineRule="exact"/>
        <w:ind w:left="-420" w:leftChars="-200" w:right="-420" w:rightChars="-200" w:firstLine="480"/>
        <w:rPr>
          <w:rFonts w:hint="eastAsia" w:ascii="仿宋_GB2312" w:hAnsi="宋体" w:eastAsia="仿宋_GB2312"/>
          <w:bCs/>
        </w:rPr>
      </w:pPr>
    </w:p>
    <w:p w14:paraId="02D91434">
      <w:pPr>
        <w:ind w:firstLine="480"/>
      </w:pPr>
      <w:r>
        <w:rPr>
          <w:rFonts w:hint="eastAsia"/>
        </w:rPr>
        <w:t>甲方：湖州学院</w:t>
      </w:r>
      <w:r>
        <w:t xml:space="preserve"> (</w:t>
      </w:r>
      <w:r>
        <w:rPr>
          <w:rFonts w:hint="eastAsia"/>
        </w:rPr>
        <w:t>盖章</w:t>
      </w:r>
      <w:r>
        <w:t>)</w:t>
      </w:r>
      <w:r>
        <w:rPr>
          <w:rFonts w:hint="eastAsia"/>
        </w:rPr>
        <w:t xml:space="preserve">               乙方：XXX公司</w:t>
      </w:r>
      <w:r>
        <w:t>(</w:t>
      </w:r>
      <w:r>
        <w:rPr>
          <w:rFonts w:hint="eastAsia"/>
        </w:rPr>
        <w:t>盖章</w:t>
      </w:r>
      <w:r>
        <w:t>)</w:t>
      </w:r>
    </w:p>
    <w:p w14:paraId="446D5F77">
      <w:pPr>
        <w:ind w:firstLine="480"/>
      </w:pPr>
    </w:p>
    <w:p w14:paraId="7EE8A215">
      <w:pPr>
        <w:ind w:firstLine="480"/>
      </w:pPr>
      <w:r>
        <w:rPr>
          <w:rFonts w:hint="eastAsia"/>
        </w:rPr>
        <w:t>法定（授权）代表人（签名）：        法定（授权）代表人（签名）：</w:t>
      </w:r>
    </w:p>
    <w:p w14:paraId="20A70490">
      <w:pPr>
        <w:ind w:firstLine="480"/>
      </w:pPr>
    </w:p>
    <w:p w14:paraId="5DBD37C2">
      <w:pPr>
        <w:ind w:firstLine="480"/>
      </w:pPr>
    </w:p>
    <w:p w14:paraId="01FF5A81">
      <w:pPr>
        <w:ind w:firstLine="480"/>
        <w:rPr>
          <w:rFonts w:hint="eastAsia"/>
        </w:rPr>
      </w:pPr>
    </w:p>
    <w:p w14:paraId="7B4CA042">
      <w:pPr>
        <w:ind w:firstLine="480"/>
        <w:jc w:val="right"/>
        <w:rPr>
          <w:rFonts w:hint="eastAsia"/>
        </w:rPr>
      </w:pPr>
      <w:r>
        <w:rPr>
          <w:rFonts w:hint="eastAsia"/>
        </w:rPr>
        <w:t>签约时间:202</w:t>
      </w:r>
      <w:r>
        <w:rPr>
          <w:rFonts w:hint="eastAsia"/>
          <w:lang w:val="en-US" w:eastAsia="zh-CN"/>
        </w:rPr>
        <w:t>6</w:t>
      </w:r>
      <w:r>
        <w:rPr>
          <w:rFonts w:hint="eastAsia"/>
        </w:rPr>
        <w:t xml:space="preserve">年x月 x 日  </w:t>
      </w:r>
    </w:p>
    <w:p w14:paraId="27169357">
      <w:pPr>
        <w:ind w:firstLine="480"/>
        <w:jc w:val="right"/>
        <w:rPr>
          <w:rFonts w:hint="default"/>
          <w:lang w:val="en-US" w:eastAsia="zh-CN"/>
        </w:rPr>
      </w:pPr>
      <w:r>
        <w:rPr>
          <w:rFonts w:hint="eastAsia"/>
        </w:rPr>
        <w:t>签约地点：</w:t>
      </w:r>
      <w:r>
        <w:rPr>
          <w:rFonts w:hint="eastAsia"/>
          <w:lang w:val="en-US" w:eastAsia="zh-CN"/>
        </w:rPr>
        <w:t>浙江省 湖州市 xx区</w:t>
      </w:r>
    </w:p>
    <w:sectPr>
      <w:pgSz w:w="11906" w:h="16838"/>
      <w:pgMar w:top="1134" w:right="1531" w:bottom="992"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73BF00-7D8C-4910-839C-6B88A366FD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0749219-40C0-4570-A355-53B9C78919EF}"/>
  </w:font>
  <w:font w:name="仿宋">
    <w:panose1 w:val="02010609060101010101"/>
    <w:charset w:val="86"/>
    <w:family w:val="modern"/>
    <w:pitch w:val="default"/>
    <w:sig w:usb0="800002BF" w:usb1="38CF7CFA" w:usb2="00000016" w:usb3="00000000" w:csb0="00040001" w:csb1="00000000"/>
    <w:embedRegular r:id="rId3" w:fontKey="{17C83967-7BF0-4F16-8656-AE085604E4FC}"/>
  </w:font>
  <w:font w:name="仿宋_GB2312">
    <w:panose1 w:val="02010609030101010101"/>
    <w:charset w:val="86"/>
    <w:family w:val="modern"/>
    <w:pitch w:val="default"/>
    <w:sig w:usb0="00000001" w:usb1="080E0000" w:usb2="00000000" w:usb3="00000000" w:csb0="00040000" w:csb1="00000000"/>
    <w:embedRegular r:id="rId4" w:fontKey="{FE88EB12-9E82-4C8C-905C-3762B99A09BA}"/>
  </w:font>
  <w:font w:name="微软雅黑">
    <w:panose1 w:val="020B0503020204020204"/>
    <w:charset w:val="86"/>
    <w:family w:val="swiss"/>
    <w:pitch w:val="default"/>
    <w:sig w:usb0="80000287" w:usb1="2ACF3C50" w:usb2="00000016" w:usb3="00000000" w:csb0="0004001F" w:csb1="00000000"/>
    <w:embedRegular r:id="rId5" w:fontKey="{9CC46E55-6408-413D-A6D3-48A05757762B}"/>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6" w:fontKey="{EC965FCA-996F-4689-A3FA-764E075AE42F}"/>
  </w:font>
  <w:font w:name="方正仿宋_GB2312">
    <w:panose1 w:val="02000000000000000000"/>
    <w:charset w:val="86"/>
    <w:family w:val="auto"/>
    <w:pitch w:val="default"/>
    <w:sig w:usb0="A00002BF" w:usb1="184F6CFA" w:usb2="00000012" w:usb3="00000000" w:csb0="00040001" w:csb1="00000000"/>
    <w:embedRegular r:id="rId7" w:fontKey="{C2491222-D9C8-4553-9D96-D143ABC96FC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06A31">
    <w:pPr>
      <w:pStyle w:val="11"/>
      <w:tabs>
        <w:tab w:val="center" w:pos="4422"/>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18B5B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A18B5B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7B105">
    <w:pPr>
      <w:pStyle w:val="1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47603">
    <w:pPr>
      <w:pStyle w:val="12"/>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50D2D1"/>
    <w:multiLevelType w:val="singleLevel"/>
    <w:tmpl w:val="8350D2D1"/>
    <w:lvl w:ilvl="0" w:tentative="0">
      <w:start w:val="1"/>
      <w:numFmt w:val="chineseCounting"/>
      <w:suff w:val="nothing"/>
      <w:lvlText w:val="（%1）"/>
      <w:lvlJc w:val="left"/>
      <w:rPr>
        <w:rFonts w:hint="eastAsia"/>
      </w:rPr>
    </w:lvl>
  </w:abstractNum>
  <w:abstractNum w:abstractNumId="1">
    <w:nsid w:val="96E1F77D"/>
    <w:multiLevelType w:val="singleLevel"/>
    <w:tmpl w:val="96E1F77D"/>
    <w:lvl w:ilvl="0" w:tentative="0">
      <w:start w:val="1"/>
      <w:numFmt w:val="decimal"/>
      <w:lvlText w:val="%1."/>
      <w:lvlJc w:val="left"/>
      <w:pPr>
        <w:ind w:left="425" w:hanging="425"/>
      </w:pPr>
      <w:rPr>
        <w:rFonts w:hint="default"/>
      </w:rPr>
    </w:lvl>
  </w:abstractNum>
  <w:abstractNum w:abstractNumId="2">
    <w:nsid w:val="9AA96D22"/>
    <w:multiLevelType w:val="singleLevel"/>
    <w:tmpl w:val="9AA96D22"/>
    <w:lvl w:ilvl="0" w:tentative="0">
      <w:start w:val="1"/>
      <w:numFmt w:val="decimal"/>
      <w:lvlText w:val="%1."/>
      <w:lvlJc w:val="left"/>
      <w:pPr>
        <w:ind w:left="845" w:hanging="425"/>
      </w:pPr>
      <w:rPr>
        <w:rFonts w:hint="default"/>
      </w:rPr>
    </w:lvl>
  </w:abstractNum>
  <w:abstractNum w:abstractNumId="3">
    <w:nsid w:val="AE3EE63A"/>
    <w:multiLevelType w:val="singleLevel"/>
    <w:tmpl w:val="AE3EE63A"/>
    <w:lvl w:ilvl="0" w:tentative="0">
      <w:start w:val="1"/>
      <w:numFmt w:val="decimal"/>
      <w:lvlText w:val="%1."/>
      <w:lvlJc w:val="left"/>
      <w:pPr>
        <w:tabs>
          <w:tab w:val="left" w:pos="312"/>
        </w:tabs>
      </w:pPr>
    </w:lvl>
  </w:abstractNum>
  <w:abstractNum w:abstractNumId="4">
    <w:nsid w:val="BCFBBE8C"/>
    <w:multiLevelType w:val="singleLevel"/>
    <w:tmpl w:val="BCFBBE8C"/>
    <w:lvl w:ilvl="0" w:tentative="0">
      <w:start w:val="1"/>
      <w:numFmt w:val="decimal"/>
      <w:lvlText w:val="%1."/>
      <w:lvlJc w:val="left"/>
      <w:pPr>
        <w:ind w:left="845" w:hanging="425"/>
      </w:pPr>
      <w:rPr>
        <w:rFonts w:hint="default"/>
      </w:rPr>
    </w:lvl>
  </w:abstractNum>
  <w:abstractNum w:abstractNumId="5">
    <w:nsid w:val="D4A667CB"/>
    <w:multiLevelType w:val="singleLevel"/>
    <w:tmpl w:val="D4A667CB"/>
    <w:lvl w:ilvl="0" w:tentative="0">
      <w:start w:val="1"/>
      <w:numFmt w:val="decimal"/>
      <w:lvlText w:val="%1."/>
      <w:lvlJc w:val="left"/>
      <w:pPr>
        <w:ind w:left="845" w:hanging="425"/>
      </w:pPr>
      <w:rPr>
        <w:rFonts w:hint="default"/>
      </w:rPr>
    </w:lvl>
  </w:abstractNum>
  <w:abstractNum w:abstractNumId="6">
    <w:nsid w:val="FD512869"/>
    <w:multiLevelType w:val="multilevel"/>
    <w:tmpl w:val="FD512869"/>
    <w:lvl w:ilvl="0" w:tentative="0">
      <w:start w:val="1"/>
      <w:numFmt w:val="chineseCounting"/>
      <w:suff w:val="nothing"/>
      <w:lvlText w:val="%1、"/>
      <w:lvlJc w:val="left"/>
      <w:pPr>
        <w:ind w:left="-420" w:firstLine="420"/>
      </w:pPr>
      <w:rPr>
        <w:rFonts w:hint="eastAsia"/>
      </w:rPr>
    </w:lvl>
    <w:lvl w:ilvl="1" w:tentative="0">
      <w:start w:val="1"/>
      <w:numFmt w:val="decimal"/>
      <w:suff w:val="nothing"/>
      <w:lvlText w:val="%2．"/>
      <w:lvlJc w:val="left"/>
      <w:pPr>
        <w:ind w:left="-420" w:firstLine="420"/>
      </w:pPr>
      <w:rPr>
        <w:rFonts w:hint="eastAsia"/>
      </w:rPr>
    </w:lvl>
    <w:lvl w:ilvl="2" w:tentative="0">
      <w:start w:val="1"/>
      <w:numFmt w:val="decimal"/>
      <w:suff w:val="nothing"/>
      <w:lvlText w:val="（%3）"/>
      <w:lvlJc w:val="left"/>
      <w:pPr>
        <w:ind w:left="-420" w:firstLine="420"/>
      </w:pPr>
      <w:rPr>
        <w:rFonts w:hint="eastAsia"/>
      </w:rPr>
    </w:lvl>
    <w:lvl w:ilvl="3" w:tentative="0">
      <w:start w:val="1"/>
      <w:numFmt w:val="decimalEnclosedCircleChinese"/>
      <w:suff w:val="nothing"/>
      <w:lvlText w:val="%4"/>
      <w:lvlJc w:val="left"/>
      <w:pPr>
        <w:ind w:left="-420" w:firstLine="420"/>
      </w:pPr>
      <w:rPr>
        <w:rFonts w:hint="eastAsia"/>
      </w:rPr>
    </w:lvl>
    <w:lvl w:ilvl="4" w:tentative="0">
      <w:start w:val="1"/>
      <w:numFmt w:val="decimal"/>
      <w:suff w:val="nothing"/>
      <w:lvlText w:val="%5）"/>
      <w:lvlJc w:val="left"/>
      <w:pPr>
        <w:ind w:left="-420" w:firstLine="420"/>
      </w:pPr>
      <w:rPr>
        <w:rFonts w:hint="eastAsia"/>
      </w:rPr>
    </w:lvl>
    <w:lvl w:ilvl="5" w:tentative="0">
      <w:start w:val="1"/>
      <w:numFmt w:val="lowerLetter"/>
      <w:suff w:val="nothing"/>
      <w:lvlText w:val="%6．"/>
      <w:lvlJc w:val="left"/>
      <w:pPr>
        <w:ind w:left="-420" w:firstLine="420"/>
      </w:pPr>
      <w:rPr>
        <w:rFonts w:hint="eastAsia"/>
      </w:rPr>
    </w:lvl>
    <w:lvl w:ilvl="6" w:tentative="0">
      <w:start w:val="1"/>
      <w:numFmt w:val="lowerLetter"/>
      <w:suff w:val="nothing"/>
      <w:lvlText w:val="%7）"/>
      <w:lvlJc w:val="left"/>
      <w:pPr>
        <w:ind w:left="-420" w:firstLine="420"/>
      </w:pPr>
      <w:rPr>
        <w:rFonts w:hint="eastAsia"/>
      </w:rPr>
    </w:lvl>
    <w:lvl w:ilvl="7" w:tentative="0">
      <w:start w:val="1"/>
      <w:numFmt w:val="lowerRoman"/>
      <w:suff w:val="nothing"/>
      <w:lvlText w:val="%8．"/>
      <w:lvlJc w:val="left"/>
      <w:pPr>
        <w:ind w:left="-420" w:firstLine="420"/>
      </w:pPr>
      <w:rPr>
        <w:rFonts w:hint="eastAsia"/>
      </w:rPr>
    </w:lvl>
    <w:lvl w:ilvl="8" w:tentative="0">
      <w:start w:val="1"/>
      <w:numFmt w:val="lowerRoman"/>
      <w:suff w:val="nothing"/>
      <w:lvlText w:val="%9）"/>
      <w:lvlJc w:val="left"/>
      <w:pPr>
        <w:ind w:left="-420" w:firstLine="420"/>
      </w:pPr>
      <w:rPr>
        <w:rFonts w:hint="eastAsia"/>
      </w:rPr>
    </w:lvl>
  </w:abstractNum>
  <w:abstractNum w:abstractNumId="7">
    <w:nsid w:val="416BDFD8"/>
    <w:multiLevelType w:val="singleLevel"/>
    <w:tmpl w:val="416BDFD8"/>
    <w:lvl w:ilvl="0" w:tentative="0">
      <w:start w:val="1"/>
      <w:numFmt w:val="decimal"/>
      <w:lvlText w:val="%1."/>
      <w:lvlJc w:val="left"/>
      <w:pPr>
        <w:ind w:left="845" w:hanging="425"/>
      </w:pPr>
      <w:rPr>
        <w:rFonts w:hint="default"/>
      </w:rPr>
    </w:lvl>
  </w:abstractNum>
  <w:abstractNum w:abstractNumId="8">
    <w:nsid w:val="50A7A25F"/>
    <w:multiLevelType w:val="singleLevel"/>
    <w:tmpl w:val="50A7A25F"/>
    <w:lvl w:ilvl="0" w:tentative="0">
      <w:start w:val="1"/>
      <w:numFmt w:val="decimal"/>
      <w:lvlText w:val="%1."/>
      <w:lvlJc w:val="left"/>
      <w:pPr>
        <w:ind w:left="845" w:hanging="425"/>
      </w:pPr>
      <w:rPr>
        <w:rFonts w:hint="default"/>
      </w:rPr>
    </w:lvl>
  </w:abstractNum>
  <w:abstractNum w:abstractNumId="9">
    <w:nsid w:val="59A3727D"/>
    <w:multiLevelType w:val="singleLevel"/>
    <w:tmpl w:val="59A3727D"/>
    <w:lvl w:ilvl="0" w:tentative="0">
      <w:start w:val="1"/>
      <w:numFmt w:val="decimal"/>
      <w:suff w:val="nothing"/>
      <w:lvlText w:val="%1."/>
      <w:lvlJc w:val="left"/>
      <w:pPr>
        <w:ind w:left="425" w:hanging="425"/>
      </w:pPr>
      <w:rPr>
        <w:rFonts w:hint="default"/>
      </w:rPr>
    </w:lvl>
  </w:abstractNum>
  <w:abstractNum w:abstractNumId="10">
    <w:nsid w:val="5B278A5F"/>
    <w:multiLevelType w:val="singleLevel"/>
    <w:tmpl w:val="5B278A5F"/>
    <w:lvl w:ilvl="0" w:tentative="0">
      <w:start w:val="1"/>
      <w:numFmt w:val="decimal"/>
      <w:lvlText w:val="%1."/>
      <w:lvlJc w:val="left"/>
      <w:pPr>
        <w:tabs>
          <w:tab w:val="left" w:pos="-420"/>
        </w:tabs>
        <w:ind w:left="425" w:hanging="425"/>
      </w:pPr>
      <w:rPr>
        <w:rFonts w:hint="default"/>
      </w:rPr>
    </w:lvl>
  </w:abstractNum>
  <w:num w:numId="1">
    <w:abstractNumId w:val="2"/>
  </w:num>
  <w:num w:numId="2">
    <w:abstractNumId w:val="8"/>
  </w:num>
  <w:num w:numId="3">
    <w:abstractNumId w:val="7"/>
  </w:num>
  <w:num w:numId="4">
    <w:abstractNumId w:val="5"/>
  </w:num>
  <w:num w:numId="5">
    <w:abstractNumId w:val="4"/>
  </w:num>
  <w:num w:numId="6">
    <w:abstractNumId w:val="1"/>
  </w:num>
  <w:num w:numId="7">
    <w:abstractNumId w:val="0"/>
  </w:num>
  <w:num w:numId="8">
    <w:abstractNumId w:val="3"/>
  </w:num>
  <w:num w:numId="9">
    <w:abstractNumId w:val="1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iYTBhYzk0MDFmYTM4MGU1NWM0NjcxZGU0OTdhNTAifQ=="/>
  </w:docVars>
  <w:rsids>
    <w:rsidRoot w:val="00AE3ED4"/>
    <w:rsid w:val="000B182F"/>
    <w:rsid w:val="00810D76"/>
    <w:rsid w:val="0095715B"/>
    <w:rsid w:val="009E2F21"/>
    <w:rsid w:val="00AE3ED4"/>
    <w:rsid w:val="02B01361"/>
    <w:rsid w:val="0356670A"/>
    <w:rsid w:val="04E80DAA"/>
    <w:rsid w:val="060A0D89"/>
    <w:rsid w:val="07A31495"/>
    <w:rsid w:val="07D82BF3"/>
    <w:rsid w:val="080E331C"/>
    <w:rsid w:val="0AF7398D"/>
    <w:rsid w:val="0BFF6D04"/>
    <w:rsid w:val="0C724374"/>
    <w:rsid w:val="0D725B91"/>
    <w:rsid w:val="0D7F3E0A"/>
    <w:rsid w:val="0F0E62D2"/>
    <w:rsid w:val="0F5D3091"/>
    <w:rsid w:val="0F784FB5"/>
    <w:rsid w:val="11112603"/>
    <w:rsid w:val="146570A2"/>
    <w:rsid w:val="15634DF8"/>
    <w:rsid w:val="16540EC7"/>
    <w:rsid w:val="1674297A"/>
    <w:rsid w:val="176E351E"/>
    <w:rsid w:val="179E0CE0"/>
    <w:rsid w:val="17B44838"/>
    <w:rsid w:val="197B6322"/>
    <w:rsid w:val="1EE751BC"/>
    <w:rsid w:val="1FBE39AB"/>
    <w:rsid w:val="20831A0C"/>
    <w:rsid w:val="213A793B"/>
    <w:rsid w:val="22050734"/>
    <w:rsid w:val="24622D5C"/>
    <w:rsid w:val="25455AD7"/>
    <w:rsid w:val="257E79C7"/>
    <w:rsid w:val="29FF340B"/>
    <w:rsid w:val="2A0B17B3"/>
    <w:rsid w:val="2A423861"/>
    <w:rsid w:val="2A9C4A15"/>
    <w:rsid w:val="2AB831E9"/>
    <w:rsid w:val="2E823302"/>
    <w:rsid w:val="2EAFDF92"/>
    <w:rsid w:val="2ED45CDA"/>
    <w:rsid w:val="2F1F3211"/>
    <w:rsid w:val="30745310"/>
    <w:rsid w:val="31C50E9C"/>
    <w:rsid w:val="31D74041"/>
    <w:rsid w:val="31F43D52"/>
    <w:rsid w:val="32500DC3"/>
    <w:rsid w:val="33492641"/>
    <w:rsid w:val="337346E7"/>
    <w:rsid w:val="33E28E8A"/>
    <w:rsid w:val="3437693D"/>
    <w:rsid w:val="35F71540"/>
    <w:rsid w:val="38EE1BC4"/>
    <w:rsid w:val="397B54E2"/>
    <w:rsid w:val="39BBE0CE"/>
    <w:rsid w:val="3A59585F"/>
    <w:rsid w:val="3B9F650C"/>
    <w:rsid w:val="3BDAD4ED"/>
    <w:rsid w:val="3C301311"/>
    <w:rsid w:val="3C8A4DC7"/>
    <w:rsid w:val="3CC20428"/>
    <w:rsid w:val="3CEA636B"/>
    <w:rsid w:val="3CEA6431"/>
    <w:rsid w:val="3D0748C1"/>
    <w:rsid w:val="3DEC5522"/>
    <w:rsid w:val="3E263CAA"/>
    <w:rsid w:val="3E602FB4"/>
    <w:rsid w:val="3E64212B"/>
    <w:rsid w:val="3F7FC11D"/>
    <w:rsid w:val="3FF6C1C0"/>
    <w:rsid w:val="408F1FDB"/>
    <w:rsid w:val="409776E7"/>
    <w:rsid w:val="41652D3C"/>
    <w:rsid w:val="41CA3B5F"/>
    <w:rsid w:val="42363E2C"/>
    <w:rsid w:val="43236A0A"/>
    <w:rsid w:val="43D2242F"/>
    <w:rsid w:val="443F0931"/>
    <w:rsid w:val="446B0669"/>
    <w:rsid w:val="45505AB1"/>
    <w:rsid w:val="45CF0F48"/>
    <w:rsid w:val="46A6359A"/>
    <w:rsid w:val="4799259F"/>
    <w:rsid w:val="49BD2569"/>
    <w:rsid w:val="4B321EE0"/>
    <w:rsid w:val="4C043534"/>
    <w:rsid w:val="4C496610"/>
    <w:rsid w:val="4C5440D8"/>
    <w:rsid w:val="4D1675E0"/>
    <w:rsid w:val="4E09582B"/>
    <w:rsid w:val="4F0F5ED5"/>
    <w:rsid w:val="4FD50600"/>
    <w:rsid w:val="50CF1F80"/>
    <w:rsid w:val="52B92EE7"/>
    <w:rsid w:val="53BF62DB"/>
    <w:rsid w:val="546DABDD"/>
    <w:rsid w:val="547C4E00"/>
    <w:rsid w:val="559E5AB7"/>
    <w:rsid w:val="57802EB3"/>
    <w:rsid w:val="57D06B40"/>
    <w:rsid w:val="57FFE63B"/>
    <w:rsid w:val="5E025D2B"/>
    <w:rsid w:val="5E40252C"/>
    <w:rsid w:val="5E4C5CCA"/>
    <w:rsid w:val="5EBFD2A9"/>
    <w:rsid w:val="5EFF57FF"/>
    <w:rsid w:val="5F345D8B"/>
    <w:rsid w:val="5F6A3FF8"/>
    <w:rsid w:val="5F9DE60B"/>
    <w:rsid w:val="60946B05"/>
    <w:rsid w:val="622163B3"/>
    <w:rsid w:val="6230163E"/>
    <w:rsid w:val="644741F1"/>
    <w:rsid w:val="66811E52"/>
    <w:rsid w:val="66B73ED2"/>
    <w:rsid w:val="66F642CD"/>
    <w:rsid w:val="6740552D"/>
    <w:rsid w:val="67F52C07"/>
    <w:rsid w:val="67FB3951"/>
    <w:rsid w:val="68B97F60"/>
    <w:rsid w:val="69E623BC"/>
    <w:rsid w:val="6AAE52B4"/>
    <w:rsid w:val="6AF97ECD"/>
    <w:rsid w:val="6C545FC6"/>
    <w:rsid w:val="6D2236EE"/>
    <w:rsid w:val="6D3FAE13"/>
    <w:rsid w:val="6D4D2752"/>
    <w:rsid w:val="6E071139"/>
    <w:rsid w:val="6F2E0F44"/>
    <w:rsid w:val="6FFBAD4B"/>
    <w:rsid w:val="708C237E"/>
    <w:rsid w:val="70C7626D"/>
    <w:rsid w:val="731D6B1E"/>
    <w:rsid w:val="735F7883"/>
    <w:rsid w:val="740407CA"/>
    <w:rsid w:val="74333C9F"/>
    <w:rsid w:val="76BDB4BA"/>
    <w:rsid w:val="779E9677"/>
    <w:rsid w:val="77F263D0"/>
    <w:rsid w:val="78A21BA4"/>
    <w:rsid w:val="78F24D24"/>
    <w:rsid w:val="79E44190"/>
    <w:rsid w:val="7A5418DD"/>
    <w:rsid w:val="7AFE508C"/>
    <w:rsid w:val="7B271E16"/>
    <w:rsid w:val="7BDF6C6B"/>
    <w:rsid w:val="7D7F9FEB"/>
    <w:rsid w:val="7D981118"/>
    <w:rsid w:val="7DBF9340"/>
    <w:rsid w:val="7E8741DE"/>
    <w:rsid w:val="7EFF1B6F"/>
    <w:rsid w:val="7F361298"/>
    <w:rsid w:val="7F5D9F11"/>
    <w:rsid w:val="7F777308"/>
    <w:rsid w:val="7FB792B3"/>
    <w:rsid w:val="7FD528D2"/>
    <w:rsid w:val="7FD57037"/>
    <w:rsid w:val="7FDD54E4"/>
    <w:rsid w:val="7FF9A63E"/>
    <w:rsid w:val="7FFF94C5"/>
    <w:rsid w:val="7FFFB629"/>
    <w:rsid w:val="87EF25AD"/>
    <w:rsid w:val="8DED4E31"/>
    <w:rsid w:val="8F7F89B4"/>
    <w:rsid w:val="9FA79083"/>
    <w:rsid w:val="9FB68FE7"/>
    <w:rsid w:val="9FEAF482"/>
    <w:rsid w:val="9FFB86CB"/>
    <w:rsid w:val="ACF90484"/>
    <w:rsid w:val="AD9F458E"/>
    <w:rsid w:val="B525BBD5"/>
    <w:rsid w:val="B98ACC31"/>
    <w:rsid w:val="BB7F56C9"/>
    <w:rsid w:val="BBC6F17A"/>
    <w:rsid w:val="BBFE2E16"/>
    <w:rsid w:val="BFFD0ED0"/>
    <w:rsid w:val="CE7B5FDD"/>
    <w:rsid w:val="D7FB309A"/>
    <w:rsid w:val="DBFEF787"/>
    <w:rsid w:val="EDE44D87"/>
    <w:rsid w:val="EE6DD47A"/>
    <w:rsid w:val="EFCCC710"/>
    <w:rsid w:val="F3EFEA08"/>
    <w:rsid w:val="F7F9B161"/>
    <w:rsid w:val="F9B5C732"/>
    <w:rsid w:val="FBDD35DA"/>
    <w:rsid w:val="FDFF97C7"/>
    <w:rsid w:val="FE8DF930"/>
    <w:rsid w:val="FEDC0A27"/>
    <w:rsid w:val="FF5DF930"/>
    <w:rsid w:val="FF5FA500"/>
    <w:rsid w:val="FF7EAAD2"/>
    <w:rsid w:val="FF9C849F"/>
    <w:rsid w:val="FFDED075"/>
    <w:rsid w:val="FFF77CC5"/>
    <w:rsid w:val="FFFD5C02"/>
    <w:rsid w:val="FFFF49D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line="500" w:lineRule="exact"/>
      <w:jc w:val="center"/>
      <w:outlineLvl w:val="0"/>
    </w:pPr>
    <w:rPr>
      <w:rFonts w:ascii="宋体" w:hAnsi="宋体" w:eastAsia="仿宋"/>
      <w:b/>
      <w:sz w:val="30"/>
      <w:szCs w:val="20"/>
    </w:rPr>
  </w:style>
  <w:style w:type="paragraph" w:styleId="3">
    <w:name w:val="heading 2"/>
    <w:basedOn w:val="1"/>
    <w:next w:val="1"/>
    <w:qFormat/>
    <w:uiPriority w:val="0"/>
    <w:pPr>
      <w:keepNext/>
      <w:keepLines/>
      <w:spacing w:before="50" w:beforeLines="50"/>
      <w:jc w:val="left"/>
      <w:outlineLvl w:val="1"/>
    </w:pPr>
    <w:rPr>
      <w:rFonts w:ascii="Times New Roman" w:hAnsi="Times New Roman" w:eastAsia="宋体"/>
      <w:b/>
      <w:sz w:val="30"/>
    </w:rPr>
  </w:style>
  <w:style w:type="character" w:default="1" w:styleId="16">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rFonts w:ascii="宋体" w:hAnsi="宋体"/>
      <w:sz w:val="28"/>
    </w:rPr>
  </w:style>
  <w:style w:type="paragraph" w:styleId="6">
    <w:name w:val="Body Text First Indent"/>
    <w:basedOn w:val="5"/>
    <w:next w:val="1"/>
    <w:qFormat/>
    <w:uiPriority w:val="0"/>
    <w:pPr>
      <w:ind w:firstLine="420" w:firstLineChars="100"/>
    </w:pPr>
    <w:rPr>
      <w:rFonts w:ascii="Times New Roman" w:hAnsi="Times New Roman" w:eastAsia="宋体" w:cs="Times New Roman"/>
    </w:rPr>
  </w:style>
  <w:style w:type="paragraph" w:styleId="7">
    <w:name w:val="Body Text Indent"/>
    <w:basedOn w:val="1"/>
    <w:next w:val="8"/>
    <w:qFormat/>
    <w:uiPriority w:val="99"/>
    <w:pPr>
      <w:spacing w:line="360" w:lineRule="auto"/>
      <w:ind w:firstLine="600" w:firstLineChars="200"/>
    </w:pPr>
    <w:rPr>
      <w:rFonts w:ascii="仿宋_GB2312" w:hAnsi="宋体" w:eastAsia="仿宋_GB2312"/>
      <w:sz w:val="30"/>
    </w:rPr>
  </w:style>
  <w:style w:type="paragraph" w:styleId="8">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9">
    <w:name w:val="Plain Text"/>
    <w:basedOn w:val="1"/>
    <w:qFormat/>
    <w:uiPriority w:val="0"/>
    <w:pPr>
      <w:widowControl w:val="0"/>
      <w:jc w:val="both"/>
    </w:pPr>
    <w:rPr>
      <w:rFonts w:ascii="宋体" w:hAnsi="Courier New" w:eastAsia="宋体" w:cs="Times New Roman"/>
      <w:kern w:val="2"/>
      <w:sz w:val="21"/>
      <w:szCs w:val="21"/>
      <w:lang w:val="en-US" w:eastAsia="zh-CN" w:bidi="ar-SA"/>
    </w:rPr>
  </w:style>
  <w:style w:type="paragraph" w:styleId="10">
    <w:name w:val="Body Text Indent 2"/>
    <w:qFormat/>
    <w:uiPriority w:val="0"/>
    <w:pPr>
      <w:widowControl w:val="0"/>
      <w:spacing w:line="320" w:lineRule="atLeast"/>
      <w:ind w:firstLine="600" w:firstLineChars="250"/>
      <w:jc w:val="both"/>
    </w:pPr>
    <w:rPr>
      <w:rFonts w:ascii="宋体" w:hAnsi="宋体" w:eastAsia="宋体" w:cs="宋体"/>
      <w:kern w:val="2"/>
      <w:sz w:val="24"/>
      <w:szCs w:val="24"/>
      <w:lang w:val="en-US" w:eastAsia="zh-CN" w:bidi="ar-SA"/>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qFormat/>
    <w:uiPriority w:val="0"/>
    <w:pPr>
      <w:widowControl w:val="0"/>
      <w:spacing w:after="120"/>
      <w:ind w:left="420" w:leftChars="200"/>
      <w:jc w:val="both"/>
    </w:pPr>
    <w:rPr>
      <w:rFonts w:ascii="Calibri" w:hAnsi="Calibri" w:eastAsia="宋体" w:cs="Times New Roman"/>
      <w:kern w:val="2"/>
      <w:sz w:val="16"/>
      <w:szCs w:val="16"/>
      <w:lang w:val="en-US" w:eastAsia="zh-CN" w:bidi="ar-SA"/>
    </w:rPr>
  </w:style>
  <w:style w:type="table" w:styleId="15">
    <w:name w:val="Table Grid"/>
    <w:basedOn w:val="1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7">
    <w:name w:val="page number"/>
    <w:qFormat/>
    <w:uiPriority w:val="0"/>
  </w:style>
  <w:style w:type="paragraph" w:customStyle="1" w:styleId="18">
    <w:name w:val="wy一级标题"/>
    <w:basedOn w:val="1"/>
    <w:next w:val="1"/>
    <w:qFormat/>
    <w:uiPriority w:val="0"/>
    <w:pPr>
      <w:jc w:val="center"/>
    </w:pPr>
    <w:rPr>
      <w:rFonts w:hint="eastAsia" w:ascii="Times New Roman" w:hAnsi="Times New Roman" w:eastAsia="宋体" w:cs="Times New Roman"/>
      <w:b/>
      <w:sz w:val="36"/>
    </w:rPr>
  </w:style>
  <w:style w:type="paragraph" w:customStyle="1" w:styleId="19">
    <w:name w:val="wy二级标题"/>
    <w:basedOn w:val="1"/>
    <w:next w:val="1"/>
    <w:qFormat/>
    <w:uiPriority w:val="0"/>
    <w:pPr>
      <w:keepNext/>
      <w:keepLines/>
      <w:spacing w:line="360" w:lineRule="auto"/>
      <w:jc w:val="left"/>
      <w:outlineLvl w:val="1"/>
    </w:pPr>
    <w:rPr>
      <w:rFonts w:hint="eastAsia" w:ascii="Times New Roman" w:hAnsi="Times New Roman" w:eastAsia="宋体"/>
      <w:b/>
      <w:sz w:val="28"/>
    </w:rPr>
  </w:style>
  <w:style w:type="paragraph" w:customStyle="1" w:styleId="20">
    <w:name w:val="wy三级标题"/>
    <w:basedOn w:val="1"/>
    <w:qFormat/>
    <w:uiPriority w:val="0"/>
    <w:pPr>
      <w:spacing w:line="360" w:lineRule="auto"/>
      <w:ind w:firstLine="1044" w:firstLineChars="200"/>
    </w:pPr>
    <w:rPr>
      <w:rFonts w:hint="eastAsia" w:ascii="Times New Roman" w:hAnsi="Times New Roman" w:eastAsia="宋体" w:cs="Times New Roman"/>
      <w:sz w:val="24"/>
    </w:rPr>
  </w:style>
  <w:style w:type="paragraph" w:customStyle="1" w:styleId="2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2">
    <w:name w:val="_Style 1"/>
    <w:qFormat/>
    <w:uiPriority w:val="99"/>
    <w:rPr>
      <w:rFonts w:ascii="Calibri" w:hAnsi="Calibri" w:eastAsia="宋体" w:cs="Times New Roman"/>
      <w:kern w:val="2"/>
      <w:sz w:val="28"/>
      <w:szCs w:val="22"/>
      <w:lang w:val="en-US" w:eastAsia="zh-CN" w:bidi="ar-SA"/>
    </w:rPr>
  </w:style>
  <w:style w:type="character" w:customStyle="1" w:styleId="23">
    <w:name w:val="font81"/>
    <w:basedOn w:val="16"/>
    <w:qFormat/>
    <w:uiPriority w:val="0"/>
    <w:rPr>
      <w:rFonts w:hint="eastAsia" w:ascii="宋体" w:hAnsi="宋体" w:eastAsia="宋体" w:cs="宋体"/>
      <w:b/>
      <w:bCs/>
      <w:color w:val="000000"/>
      <w:sz w:val="48"/>
      <w:szCs w:val="48"/>
      <w:u w:val="none"/>
    </w:rPr>
  </w:style>
  <w:style w:type="character" w:customStyle="1" w:styleId="24">
    <w:name w:val="font31"/>
    <w:basedOn w:val="16"/>
    <w:qFormat/>
    <w:uiPriority w:val="0"/>
    <w:rPr>
      <w:rFonts w:hint="default" w:ascii="Times New Roman" w:hAnsi="Times New Roman" w:cs="Times New Roman"/>
      <w:b/>
      <w:bCs/>
      <w:color w:val="000000"/>
      <w:sz w:val="48"/>
      <w:szCs w:val="48"/>
      <w:u w:val="none"/>
    </w:rPr>
  </w:style>
  <w:style w:type="character" w:customStyle="1" w:styleId="25">
    <w:name w:val="font91"/>
    <w:basedOn w:val="16"/>
    <w:qFormat/>
    <w:uiPriority w:val="0"/>
    <w:rPr>
      <w:rFonts w:hint="eastAsia" w:ascii="宋体" w:hAnsi="宋体" w:eastAsia="宋体" w:cs="宋体"/>
      <w:b/>
      <w:bCs/>
      <w:color w:val="000000"/>
      <w:sz w:val="24"/>
      <w:szCs w:val="24"/>
      <w:u w:val="none"/>
    </w:rPr>
  </w:style>
  <w:style w:type="character" w:customStyle="1" w:styleId="26">
    <w:name w:val="font51"/>
    <w:basedOn w:val="16"/>
    <w:qFormat/>
    <w:uiPriority w:val="0"/>
    <w:rPr>
      <w:rFonts w:hint="default" w:ascii="Times New Roman" w:hAnsi="Times New Roman" w:cs="Times New Roman"/>
      <w:color w:val="000000"/>
      <w:sz w:val="24"/>
      <w:szCs w:val="24"/>
      <w:u w:val="none"/>
    </w:rPr>
  </w:style>
  <w:style w:type="character" w:customStyle="1" w:styleId="27">
    <w:name w:val="font61"/>
    <w:basedOn w:val="16"/>
    <w:qFormat/>
    <w:uiPriority w:val="0"/>
    <w:rPr>
      <w:rFonts w:hint="eastAsia" w:ascii="宋体" w:hAnsi="宋体" w:eastAsia="宋体" w:cs="宋体"/>
      <w:color w:val="000000"/>
      <w:sz w:val="24"/>
      <w:szCs w:val="24"/>
      <w:u w:val="none"/>
    </w:rPr>
  </w:style>
  <w:style w:type="character" w:customStyle="1" w:styleId="28">
    <w:name w:val="font41"/>
    <w:basedOn w:val="16"/>
    <w:qFormat/>
    <w:uiPriority w:val="0"/>
    <w:rPr>
      <w:rFonts w:hint="eastAsia" w:ascii="宋体" w:hAnsi="宋体" w:eastAsia="宋体" w:cs="宋体"/>
      <w:b/>
      <w:bCs/>
      <w:color w:val="000000"/>
      <w:sz w:val="24"/>
      <w:szCs w:val="24"/>
      <w:u w:val="none"/>
    </w:rPr>
  </w:style>
  <w:style w:type="character" w:customStyle="1" w:styleId="29">
    <w:name w:val="font71"/>
    <w:basedOn w:val="16"/>
    <w:qFormat/>
    <w:uiPriority w:val="0"/>
    <w:rPr>
      <w:rFonts w:hint="default" w:ascii="Times New Roman" w:hAnsi="Times New Roman" w:cs="Times New Roman"/>
      <w:color w:val="000000"/>
      <w:sz w:val="24"/>
      <w:szCs w:val="24"/>
      <w:u w:val="none"/>
    </w:rPr>
  </w:style>
  <w:style w:type="character" w:customStyle="1" w:styleId="30">
    <w:name w:val="10"/>
    <w:basedOn w:val="16"/>
    <w:qFormat/>
    <w:uiPriority w:val="0"/>
    <w:rPr>
      <w:rFonts w:hint="default" w:ascii="Times New Roman" w:hAnsi="Times New Roman" w:cs="Times New Roman"/>
    </w:rPr>
  </w:style>
  <w:style w:type="character" w:customStyle="1" w:styleId="31">
    <w:name w:val="15"/>
    <w:basedOn w:val="16"/>
    <w:qFormat/>
    <w:uiPriority w:val="0"/>
    <w:rPr>
      <w:rFonts w:hint="eastAsia" w:ascii="宋体" w:hAnsi="宋体" w:eastAsia="宋体" w:cs="宋体"/>
      <w:b/>
      <w:bCs/>
      <w:color w:val="000000"/>
      <w:sz w:val="24"/>
      <w:szCs w:val="24"/>
    </w:rPr>
  </w:style>
  <w:style w:type="character" w:customStyle="1" w:styleId="32">
    <w:name w:val="16"/>
    <w:basedOn w:val="16"/>
    <w:qFormat/>
    <w:uiPriority w:val="0"/>
    <w:rPr>
      <w:rFonts w:hint="default" w:ascii="Times New Roman" w:hAnsi="Times New Roman" w:cs="Times New Roman"/>
      <w:color w:val="000000"/>
      <w:sz w:val="24"/>
      <w:szCs w:val="24"/>
    </w:rPr>
  </w:style>
  <w:style w:type="character" w:customStyle="1" w:styleId="33">
    <w:name w:val="17"/>
    <w:basedOn w:val="16"/>
    <w:qFormat/>
    <w:uiPriority w:val="0"/>
    <w:rPr>
      <w:rFonts w:hint="eastAsia" w:ascii="宋体" w:hAnsi="宋体" w:eastAsia="宋体" w:cs="宋体"/>
      <w:color w:val="000000"/>
      <w:sz w:val="24"/>
      <w:szCs w:val="24"/>
    </w:rPr>
  </w:style>
  <w:style w:type="character" w:customStyle="1" w:styleId="34">
    <w:name w:val="font21"/>
    <w:basedOn w:val="16"/>
    <w:qFormat/>
    <w:uiPriority w:val="0"/>
    <w:rPr>
      <w:rFonts w:hint="eastAsia" w:ascii="宋体" w:hAnsi="宋体" w:eastAsia="宋体" w:cs="宋体"/>
      <w:color w:val="000000"/>
      <w:sz w:val="24"/>
      <w:szCs w:val="24"/>
      <w:u w:val="none"/>
    </w:rPr>
  </w:style>
  <w:style w:type="paragraph" w:customStyle="1" w:styleId="35">
    <w:name w:val="DAS正文"/>
    <w:basedOn w:val="1"/>
    <w:qFormat/>
    <w:uiPriority w:val="0"/>
    <w:pPr>
      <w:spacing w:line="360" w:lineRule="auto"/>
      <w:ind w:right="181" w:firstLine="480" w:firstLineChars="200"/>
    </w:pPr>
    <w:rPr>
      <w:rFonts w:ascii="Verdana" w:hAnsi="Verdana"/>
    </w:rPr>
  </w:style>
  <w:style w:type="character" w:customStyle="1" w:styleId="36">
    <w:name w:val="font11"/>
    <w:basedOn w:val="16"/>
    <w:qFormat/>
    <w:uiPriority w:val="0"/>
    <w:rPr>
      <w:rFonts w:hint="eastAsia" w:ascii="宋体" w:hAnsi="宋体" w:eastAsia="宋体" w:cs="宋体"/>
      <w:color w:val="000000"/>
      <w:sz w:val="20"/>
      <w:szCs w:val="20"/>
      <w:u w:val="none"/>
    </w:rPr>
  </w:style>
  <w:style w:type="character" w:customStyle="1" w:styleId="37">
    <w:name w:val="font01"/>
    <w:basedOn w:val="16"/>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31</Pages>
  <Words>6159</Words>
  <Characters>6410</Characters>
  <Lines>1</Lines>
  <Paragraphs>1</Paragraphs>
  <TotalTime>1202</TotalTime>
  <ScaleCrop>false</ScaleCrop>
  <LinksUpToDate>false</LinksUpToDate>
  <CharactersWithSpaces>6449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2024-09-09T16:07:00Z</dcterms:created>
  <dc:creator>Admin</dc:creator>
  <cp:lastModifiedBy>湖州学院采购事务中心</cp:lastModifiedBy>
  <cp:lastPrinted>2026-10-08T05:42:38Z</cp:lastPrinted>
  <dcterms:modified xsi:type="dcterms:W3CDTF">2026-10-09T02:53:24Z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95CFCE8D96CD4B3E9F95FF557E6734AE_13</vt:lpwstr>
  </property>
  <property fmtid="{D5CDD505-2E9C-101B-9397-08002B2CF9AE}" pid="4" name="KSOTemplateDocerSaveRecord">
    <vt:lpwstr>eyJoZGlkIjoiMDVhNTZmMzBlYjVkMzU2OTRiNmZlNzVlNzFmYTJjMWYiLCJ1c2VySWQiOiIxOTA2NzU4MTA3In0=</vt:lpwstr>
  </property>
</Properties>
</file>