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120DD">
      <w:pPr>
        <w:tabs>
          <w:tab w:val="left" w:pos="1285"/>
          <w:tab w:val="center" w:pos="4652"/>
        </w:tabs>
        <w:spacing w:line="360" w:lineRule="auto"/>
        <w:jc w:val="center"/>
        <w:rPr>
          <w:rFonts w:hint="eastAsia" w:ascii="宋体" w:hAnsi="宋体" w:eastAsia="宋体" w:cs="宋体"/>
          <w:b/>
          <w:bCs/>
          <w:sz w:val="52"/>
          <w:szCs w:val="52"/>
          <w:highlight w:val="none"/>
          <w:lang w:eastAsia="zh-CN"/>
        </w:rPr>
      </w:pPr>
    </w:p>
    <w:p w14:paraId="01E9B620">
      <w:pPr>
        <w:tabs>
          <w:tab w:val="left" w:pos="1285"/>
          <w:tab w:val="center" w:pos="4652"/>
        </w:tabs>
        <w:spacing w:line="360" w:lineRule="auto"/>
        <w:jc w:val="center"/>
        <w:rPr>
          <w:rFonts w:hint="eastAsia" w:ascii="宋体" w:hAnsi="宋体" w:eastAsia="宋体" w:cs="宋体"/>
          <w:b/>
          <w:bCs/>
          <w:sz w:val="52"/>
          <w:szCs w:val="52"/>
          <w:highlight w:val="none"/>
          <w:lang w:eastAsia="zh-CN"/>
        </w:rPr>
      </w:pPr>
    </w:p>
    <w:p w14:paraId="19F0070B">
      <w:pPr>
        <w:tabs>
          <w:tab w:val="left" w:pos="1285"/>
          <w:tab w:val="center" w:pos="4652"/>
        </w:tabs>
        <w:spacing w:line="360" w:lineRule="auto"/>
        <w:jc w:val="center"/>
        <w:rPr>
          <w:rFonts w:hint="eastAsia" w:ascii="宋体" w:hAnsi="宋体" w:eastAsia="宋体" w:cs="宋体"/>
          <w:b/>
          <w:bCs/>
          <w:sz w:val="52"/>
          <w:szCs w:val="52"/>
        </w:rPr>
      </w:pPr>
      <w:r>
        <w:rPr>
          <w:rFonts w:hint="eastAsia" w:ascii="宋体" w:hAnsi="宋体" w:eastAsia="宋体" w:cs="宋体"/>
          <w:b/>
          <w:bCs/>
          <w:sz w:val="52"/>
          <w:szCs w:val="52"/>
          <w:highlight w:val="none"/>
          <w:lang w:eastAsia="zh-CN"/>
        </w:rPr>
        <w:t>湖州学院消防设施年度检测及消防安全评估采购项目</w:t>
      </w:r>
    </w:p>
    <w:p w14:paraId="64D5910D">
      <w:pPr>
        <w:pStyle w:val="8"/>
        <w:ind w:firstLine="0" w:firstLineChars="0"/>
        <w:jc w:val="center"/>
      </w:pPr>
    </w:p>
    <w:p w14:paraId="78F49366">
      <w:pPr>
        <w:tabs>
          <w:tab w:val="left" w:pos="1285"/>
          <w:tab w:val="center" w:pos="4652"/>
        </w:tabs>
        <w:spacing w:line="360" w:lineRule="auto"/>
        <w:jc w:val="center"/>
        <w:rPr>
          <w:rFonts w:hint="eastAsia" w:ascii="宋体" w:hAnsi="宋体" w:eastAsia="宋体" w:cs="宋体"/>
          <w:b/>
          <w:bCs/>
          <w:sz w:val="52"/>
          <w:szCs w:val="52"/>
        </w:rPr>
      </w:pPr>
      <w:r>
        <w:rPr>
          <w:rFonts w:hint="eastAsia" w:ascii="宋体" w:hAnsi="宋体" w:eastAsia="宋体" w:cs="宋体"/>
          <w:b/>
          <w:bCs/>
          <w:sz w:val="52"/>
          <w:szCs w:val="52"/>
        </w:rPr>
        <w:t>招标文件</w:t>
      </w:r>
    </w:p>
    <w:p w14:paraId="28A7D630">
      <w:pPr>
        <w:pStyle w:val="8"/>
        <w:ind w:firstLine="0" w:firstLineChars="0"/>
        <w:jc w:val="center"/>
      </w:pPr>
    </w:p>
    <w:p w14:paraId="3312127D">
      <w:pPr>
        <w:spacing w:line="480" w:lineRule="auto"/>
        <w:jc w:val="center"/>
        <w:rPr>
          <w:rFonts w:hint="eastAsia" w:ascii="宋体" w:hAnsi="宋体" w:eastAsia="宋体" w:cs="宋体"/>
          <w:b/>
          <w:bCs/>
          <w:sz w:val="32"/>
          <w:szCs w:val="32"/>
        </w:rPr>
      </w:pPr>
    </w:p>
    <w:p w14:paraId="2EAAC1D1">
      <w:pPr>
        <w:pStyle w:val="8"/>
        <w:ind w:firstLine="0" w:firstLineChars="0"/>
        <w:jc w:val="center"/>
        <w:rPr>
          <w:rFonts w:hint="eastAsia" w:ascii="宋体" w:hAnsi="宋体" w:cs="宋体"/>
          <w:b/>
          <w:bCs/>
          <w:sz w:val="32"/>
          <w:szCs w:val="32"/>
        </w:rPr>
      </w:pPr>
    </w:p>
    <w:p w14:paraId="29653A80">
      <w:pPr>
        <w:jc w:val="center"/>
      </w:pPr>
    </w:p>
    <w:p w14:paraId="0589B855">
      <w:pPr>
        <w:jc w:val="center"/>
        <w:rPr>
          <w:rFonts w:hint="eastAsia" w:ascii="宋体" w:hAnsi="宋体" w:eastAsia="宋体" w:cs="宋体"/>
          <w:b/>
          <w:bCs/>
          <w:sz w:val="32"/>
          <w:szCs w:val="32"/>
        </w:rPr>
      </w:pPr>
    </w:p>
    <w:p w14:paraId="162474CC">
      <w:pPr>
        <w:pStyle w:val="8"/>
        <w:ind w:firstLine="0" w:firstLineChars="0"/>
        <w:jc w:val="center"/>
      </w:pPr>
    </w:p>
    <w:p w14:paraId="0EAA9FBF">
      <w:pPr>
        <w:spacing w:line="480" w:lineRule="auto"/>
        <w:ind w:left="210" w:leftChars="100" w:firstLine="2570" w:firstLineChars="800"/>
        <w:rPr>
          <w:rFonts w:hint="default" w:ascii="宋体" w:hAnsi="宋体" w:eastAsia="宋体" w:cs="宋体"/>
          <w:b/>
          <w:bCs/>
          <w:sz w:val="32"/>
          <w:szCs w:val="32"/>
          <w:highlight w:val="none"/>
          <w:lang w:val="en-US" w:eastAsia="zh-CN"/>
        </w:rPr>
      </w:pPr>
      <w:r>
        <w:rPr>
          <w:rFonts w:hint="eastAsia" w:ascii="宋体" w:hAnsi="宋体" w:eastAsia="宋体" w:cs="宋体"/>
          <w:b/>
          <w:bCs/>
          <w:sz w:val="32"/>
          <w:szCs w:val="32"/>
          <w:highlight w:val="none"/>
        </w:rPr>
        <w:t>项目编号：</w:t>
      </w:r>
      <w:r>
        <w:rPr>
          <w:rFonts w:hint="eastAsia" w:ascii="宋体" w:hAnsi="宋体" w:eastAsia="宋体" w:cs="宋体"/>
          <w:b/>
          <w:bCs/>
          <w:sz w:val="32"/>
          <w:szCs w:val="32"/>
          <w:highlight w:val="none"/>
          <w:lang w:eastAsia="zh-CN"/>
        </w:rPr>
        <w:t>XZ2026024A</w:t>
      </w:r>
    </w:p>
    <w:p w14:paraId="6DD5C1A1">
      <w:pPr>
        <w:spacing w:line="480" w:lineRule="auto"/>
        <w:ind w:left="210" w:leftChars="100" w:firstLine="2570" w:firstLineChars="800"/>
        <w:jc w:val="left"/>
        <w:rPr>
          <w:rFonts w:hint="eastAsia" w:ascii="宋体" w:hAnsi="宋体" w:eastAsia="宋体" w:cs="宋体"/>
          <w:b/>
          <w:bCs/>
          <w:sz w:val="32"/>
          <w:szCs w:val="32"/>
        </w:rPr>
      </w:pPr>
      <w:r>
        <w:rPr>
          <w:rFonts w:hint="eastAsia" w:ascii="宋体" w:hAnsi="宋体" w:eastAsia="宋体" w:cs="宋体"/>
          <w:b/>
          <w:bCs/>
          <w:sz w:val="32"/>
          <w:szCs w:val="32"/>
        </w:rPr>
        <w:t>采 购 人：湖州学院</w:t>
      </w:r>
    </w:p>
    <w:p w14:paraId="3F8CA00C">
      <w:pPr>
        <w:spacing w:line="480" w:lineRule="auto"/>
        <w:ind w:left="210" w:leftChars="100" w:firstLine="2570" w:firstLineChars="800"/>
        <w:jc w:val="left"/>
        <w:rPr>
          <w:rFonts w:hint="default" w:ascii="宋体" w:hAnsi="宋体" w:eastAsia="宋体" w:cs="宋体"/>
          <w:b/>
          <w:bCs/>
          <w:sz w:val="32"/>
          <w:szCs w:val="32"/>
          <w:lang w:val="en-US" w:eastAsia="zh-CN"/>
        </w:rPr>
      </w:pPr>
      <w:r>
        <w:rPr>
          <w:rFonts w:hint="eastAsia" w:ascii="宋体" w:hAnsi="宋体" w:eastAsia="宋体" w:cs="宋体"/>
          <w:b/>
          <w:bCs/>
          <w:sz w:val="32"/>
          <w:szCs w:val="32"/>
        </w:rPr>
        <w:t>采购部门：</w:t>
      </w:r>
      <w:r>
        <w:rPr>
          <w:rFonts w:hint="eastAsia" w:ascii="宋体" w:hAnsi="宋体" w:eastAsia="宋体" w:cs="宋体"/>
          <w:b/>
          <w:bCs/>
          <w:sz w:val="32"/>
          <w:szCs w:val="32"/>
          <w:lang w:val="en-US" w:eastAsia="zh-CN"/>
        </w:rPr>
        <w:t>安全保卫部</w:t>
      </w:r>
    </w:p>
    <w:p w14:paraId="6BFD2A68">
      <w:pPr>
        <w:spacing w:line="480" w:lineRule="auto"/>
        <w:ind w:left="210" w:leftChars="100" w:firstLine="2570" w:firstLineChars="800"/>
        <w:jc w:val="left"/>
        <w:rPr>
          <w:rFonts w:hint="eastAsia" w:ascii="宋体" w:hAnsi="宋体" w:eastAsia="宋体" w:cs="宋体"/>
          <w:b/>
          <w:bCs/>
          <w:sz w:val="32"/>
          <w:szCs w:val="32"/>
        </w:rPr>
      </w:pPr>
      <w:r>
        <w:rPr>
          <w:rFonts w:hint="eastAsia" w:ascii="宋体" w:hAnsi="宋体" w:eastAsia="宋体" w:cs="宋体"/>
          <w:b/>
          <w:bCs/>
          <w:sz w:val="32"/>
          <w:szCs w:val="32"/>
        </w:rPr>
        <w:t>日    期：202</w:t>
      </w:r>
      <w:r>
        <w:rPr>
          <w:rFonts w:hint="eastAsia" w:ascii="宋体" w:hAnsi="宋体" w:eastAsia="宋体" w:cs="宋体"/>
          <w:b/>
          <w:bCs/>
          <w:sz w:val="32"/>
          <w:szCs w:val="32"/>
          <w:lang w:val="en-US" w:eastAsia="zh-CN"/>
        </w:rPr>
        <w:t>6</w:t>
      </w:r>
      <w:r>
        <w:rPr>
          <w:rFonts w:hint="eastAsia" w:ascii="宋体" w:hAnsi="宋体" w:eastAsia="宋体" w:cs="宋体"/>
          <w:b/>
          <w:bCs/>
          <w:sz w:val="32"/>
          <w:szCs w:val="32"/>
        </w:rPr>
        <w:t>年</w:t>
      </w:r>
      <w:r>
        <w:rPr>
          <w:rFonts w:hint="eastAsia" w:ascii="宋体" w:hAnsi="宋体" w:eastAsia="宋体" w:cs="宋体"/>
          <w:b/>
          <w:bCs/>
          <w:sz w:val="32"/>
          <w:szCs w:val="32"/>
          <w:lang w:val="en-US" w:eastAsia="zh-CN"/>
        </w:rPr>
        <w:t>10</w:t>
      </w:r>
      <w:r>
        <w:rPr>
          <w:rFonts w:hint="eastAsia" w:ascii="宋体" w:hAnsi="宋体" w:eastAsia="宋体" w:cs="宋体"/>
          <w:b/>
          <w:bCs/>
          <w:sz w:val="32"/>
          <w:szCs w:val="32"/>
        </w:rPr>
        <w:t>月</w:t>
      </w:r>
    </w:p>
    <w:p w14:paraId="25C830A0">
      <w:pPr>
        <w:pStyle w:val="8"/>
        <w:ind w:firstLine="321"/>
        <w:rPr>
          <w:rFonts w:hint="eastAsia" w:ascii="宋体" w:hAnsi="宋体" w:cs="宋体"/>
          <w:b/>
          <w:bCs/>
          <w:sz w:val="32"/>
          <w:szCs w:val="32"/>
        </w:rPr>
      </w:pPr>
    </w:p>
    <w:p w14:paraId="524F569E">
      <w:pPr>
        <w:sectPr>
          <w:headerReference r:id="rId3" w:type="default"/>
          <w:footerReference r:id="rId4" w:type="default"/>
          <w:pgSz w:w="11906" w:h="16838"/>
          <w:pgMar w:top="1134" w:right="1531" w:bottom="992" w:left="1531" w:header="851" w:footer="992" w:gutter="0"/>
          <w:cols w:space="0" w:num="1"/>
          <w:titlePg/>
          <w:docGrid w:type="lines" w:linePitch="312" w:charSpace="0"/>
        </w:sectPr>
      </w:pPr>
    </w:p>
    <w:p w14:paraId="6B607C8E">
      <w:pPr>
        <w:pStyle w:val="20"/>
        <w:keepNext w:val="0"/>
        <w:keepLines w:val="0"/>
        <w:pageBreakBefore w:val="0"/>
        <w:widowControl w:val="0"/>
        <w:kinsoku/>
        <w:wordWrap/>
        <w:overflowPunct/>
        <w:topLinePunct w:val="0"/>
        <w:autoSpaceDE/>
        <w:autoSpaceDN/>
        <w:bidi w:val="0"/>
        <w:adjustRightInd/>
        <w:snapToGrid/>
        <w:spacing w:before="313" w:beforeLines="100"/>
        <w:textAlignment w:val="auto"/>
        <w:outlineLvl w:val="0"/>
        <w:rPr>
          <w:rFonts w:ascii="仿宋" w:hAnsi="仿宋" w:eastAsia="仿宋" w:cs="仿宋"/>
          <w:szCs w:val="36"/>
        </w:rPr>
      </w:pPr>
      <w:r>
        <w:rPr>
          <w:rFonts w:hint="eastAsia" w:ascii="仿宋" w:hAnsi="仿宋" w:eastAsia="仿宋" w:cs="仿宋"/>
          <w:lang w:val="en-US" w:eastAsia="zh-CN"/>
        </w:rPr>
        <w:t xml:space="preserve">第一章 </w:t>
      </w:r>
      <w:r>
        <w:rPr>
          <w:rFonts w:ascii="仿宋" w:hAnsi="仿宋" w:eastAsia="仿宋" w:cs="仿宋"/>
        </w:rPr>
        <w:t>招标概况</w:t>
      </w:r>
    </w:p>
    <w:p w14:paraId="1D81785A">
      <w:pPr>
        <w:pStyle w:val="21"/>
        <w:rPr>
          <w:rFonts w:ascii="仿宋" w:hAnsi="仿宋" w:eastAsia="仿宋" w:cs="仿宋"/>
        </w:rPr>
      </w:pPr>
      <w:r>
        <w:rPr>
          <w:rFonts w:ascii="仿宋" w:hAnsi="仿宋" w:eastAsia="仿宋" w:cs="仿宋"/>
        </w:rPr>
        <w:t>一、项目基本情况</w:t>
      </w:r>
    </w:p>
    <w:p w14:paraId="368AE964">
      <w:pPr>
        <w:pStyle w:val="22"/>
        <w:numPr>
          <w:ilvl w:val="0"/>
          <w:numId w:val="1"/>
        </w:numPr>
        <w:ind w:firstLineChars="0"/>
        <w:rPr>
          <w:rFonts w:ascii="仿宋" w:hAnsi="仿宋" w:eastAsia="仿宋" w:cs="仿宋"/>
          <w:highlight w:val="none"/>
        </w:rPr>
      </w:pPr>
      <w:r>
        <w:rPr>
          <w:rFonts w:ascii="仿宋" w:hAnsi="仿宋" w:eastAsia="仿宋" w:cs="仿宋"/>
          <w:highlight w:val="none"/>
        </w:rPr>
        <w:t>项目名称：</w:t>
      </w:r>
      <w:r>
        <w:rPr>
          <w:rFonts w:hint="eastAsia" w:ascii="仿宋" w:hAnsi="仿宋" w:eastAsia="仿宋" w:cs="仿宋"/>
          <w:highlight w:val="none"/>
          <w:lang w:eastAsia="zh-CN"/>
        </w:rPr>
        <w:t>湖州学院消防设施年度检测及消防安全评估采购项目</w:t>
      </w:r>
      <w:r>
        <w:rPr>
          <w:rFonts w:ascii="仿宋" w:hAnsi="仿宋" w:eastAsia="仿宋" w:cs="仿宋"/>
          <w:highlight w:val="none"/>
        </w:rPr>
        <w:t>；</w:t>
      </w:r>
    </w:p>
    <w:p w14:paraId="388156AD">
      <w:pPr>
        <w:pStyle w:val="22"/>
        <w:numPr>
          <w:ilvl w:val="0"/>
          <w:numId w:val="1"/>
        </w:numPr>
        <w:bidi w:val="0"/>
        <w:ind w:left="845" w:leftChars="0" w:hanging="425" w:firstLineChars="0"/>
        <w:rPr>
          <w:rFonts w:hint="eastAsia" w:ascii="仿宋" w:hAnsi="仿宋" w:eastAsia="仿宋" w:cs="仿宋"/>
        </w:rPr>
      </w:pPr>
      <w:r>
        <w:rPr>
          <w:rFonts w:hint="eastAsia" w:ascii="仿宋" w:hAnsi="仿宋" w:eastAsia="仿宋" w:cs="仿宋"/>
        </w:rPr>
        <w:t>采购编号：</w:t>
      </w:r>
      <w:r>
        <w:rPr>
          <w:rFonts w:hint="eastAsia" w:ascii="仿宋" w:hAnsi="仿宋" w:eastAsia="仿宋" w:cs="仿宋"/>
          <w:lang w:eastAsia="zh-CN"/>
        </w:rPr>
        <w:t>XZ2026024A；</w:t>
      </w:r>
    </w:p>
    <w:p w14:paraId="48BA33E8">
      <w:pPr>
        <w:pStyle w:val="22"/>
        <w:numPr>
          <w:ilvl w:val="0"/>
          <w:numId w:val="1"/>
        </w:numPr>
        <w:bidi w:val="0"/>
        <w:ind w:left="845" w:leftChars="0" w:hanging="425" w:firstLineChars="0"/>
        <w:rPr>
          <w:rFonts w:hint="eastAsia" w:ascii="仿宋" w:hAnsi="仿宋" w:eastAsia="仿宋" w:cs="仿宋"/>
        </w:rPr>
      </w:pPr>
      <w:r>
        <w:rPr>
          <w:rFonts w:hint="eastAsia" w:ascii="仿宋" w:hAnsi="仿宋" w:eastAsia="仿宋" w:cs="仿宋"/>
        </w:rPr>
        <w:t>采购方式：校内公开招标</w:t>
      </w:r>
      <w:r>
        <w:rPr>
          <w:rFonts w:hint="eastAsia" w:ascii="仿宋" w:hAnsi="仿宋" w:eastAsia="仿宋" w:cs="仿宋"/>
          <w:lang w:eastAsia="zh-CN"/>
        </w:rPr>
        <w:t>；</w:t>
      </w:r>
    </w:p>
    <w:p w14:paraId="3996CEE8">
      <w:pPr>
        <w:pStyle w:val="22"/>
        <w:numPr>
          <w:ilvl w:val="0"/>
          <w:numId w:val="1"/>
        </w:numPr>
        <w:bidi w:val="0"/>
        <w:ind w:left="845" w:leftChars="0" w:hanging="425" w:firstLineChars="0"/>
        <w:rPr>
          <w:rFonts w:hint="eastAsia" w:ascii="仿宋" w:hAnsi="仿宋" w:eastAsia="仿宋" w:cs="仿宋"/>
        </w:rPr>
      </w:pPr>
      <w:r>
        <w:rPr>
          <w:rFonts w:hint="eastAsia" w:ascii="仿宋" w:hAnsi="仿宋" w:eastAsia="仿宋" w:cs="仿宋"/>
        </w:rPr>
        <w:t>采购预算（最高限价）：人民币</w:t>
      </w:r>
      <w:r>
        <w:rPr>
          <w:rFonts w:hint="eastAsia" w:ascii="仿宋" w:hAnsi="仿宋" w:eastAsia="仿宋" w:cs="仿宋"/>
          <w:lang w:val="en-US" w:eastAsia="zh-CN"/>
        </w:rPr>
        <w:t>壹拾陆万元整</w:t>
      </w:r>
      <w:r>
        <w:rPr>
          <w:rFonts w:hint="eastAsia" w:ascii="仿宋" w:hAnsi="仿宋" w:eastAsia="仿宋" w:cs="仿宋"/>
        </w:rPr>
        <w:t>（￥</w:t>
      </w:r>
      <w:r>
        <w:rPr>
          <w:rFonts w:hint="eastAsia" w:ascii="仿宋" w:hAnsi="仿宋" w:eastAsia="仿宋" w:cs="仿宋"/>
          <w:lang w:val="en-US" w:eastAsia="zh-CN"/>
        </w:rPr>
        <w:t>160000</w:t>
      </w:r>
      <w:r>
        <w:rPr>
          <w:rFonts w:hint="eastAsia" w:ascii="仿宋" w:hAnsi="仿宋" w:eastAsia="仿宋" w:cs="仿宋"/>
        </w:rPr>
        <w:t>.00）</w:t>
      </w:r>
      <w:r>
        <w:rPr>
          <w:rFonts w:hint="eastAsia" w:ascii="仿宋" w:hAnsi="仿宋" w:eastAsia="仿宋" w:cs="仿宋"/>
          <w:lang w:eastAsia="zh-CN"/>
        </w:rPr>
        <w:t>；</w:t>
      </w:r>
    </w:p>
    <w:p w14:paraId="22E69F0B">
      <w:pPr>
        <w:pStyle w:val="22"/>
        <w:numPr>
          <w:ilvl w:val="0"/>
          <w:numId w:val="1"/>
        </w:numPr>
        <w:bidi w:val="0"/>
        <w:ind w:left="845" w:leftChars="0" w:hanging="425" w:firstLineChars="0"/>
        <w:rPr>
          <w:rFonts w:hint="eastAsia" w:ascii="仿宋" w:hAnsi="仿宋" w:eastAsia="仿宋" w:cs="仿宋"/>
        </w:rPr>
      </w:pPr>
      <w:r>
        <w:rPr>
          <w:rFonts w:hint="eastAsia" w:ascii="仿宋" w:hAnsi="仿宋" w:eastAsia="仿宋" w:cs="仿宋"/>
        </w:rPr>
        <w:t>项目交付截止时间：2026年11月</w:t>
      </w:r>
      <w:r>
        <w:rPr>
          <w:rFonts w:hint="eastAsia" w:ascii="仿宋" w:hAnsi="仿宋" w:eastAsia="仿宋" w:cs="仿宋"/>
          <w:lang w:val="en-US" w:eastAsia="zh-CN"/>
        </w:rPr>
        <w:t>22</w:t>
      </w:r>
      <w:r>
        <w:rPr>
          <w:rFonts w:hint="eastAsia" w:ascii="仿宋" w:hAnsi="仿宋" w:eastAsia="仿宋" w:cs="仿宋"/>
        </w:rPr>
        <w:t>日前。</w:t>
      </w:r>
    </w:p>
    <w:p w14:paraId="53A167B0">
      <w:pPr>
        <w:pStyle w:val="22"/>
        <w:numPr>
          <w:ilvl w:val="0"/>
          <w:numId w:val="1"/>
        </w:numPr>
        <w:bidi w:val="0"/>
        <w:ind w:left="845" w:leftChars="0" w:hanging="425" w:firstLineChars="0"/>
        <w:rPr>
          <w:rFonts w:hint="eastAsia" w:ascii="仿宋" w:hAnsi="仿宋" w:eastAsia="仿宋" w:cs="仿宋"/>
        </w:rPr>
      </w:pPr>
      <w:r>
        <w:rPr>
          <w:rFonts w:hint="eastAsia" w:ascii="仿宋" w:hAnsi="仿宋" w:eastAsia="仿宋" w:cs="仿宋"/>
        </w:rPr>
        <w:t>采购需求：湖州学院消防设施年度检测及消防安全评估</w:t>
      </w:r>
      <w:r>
        <w:rPr>
          <w:rFonts w:hint="eastAsia" w:ascii="仿宋" w:hAnsi="仿宋" w:eastAsia="仿宋" w:cs="仿宋"/>
          <w:lang w:val="en-US" w:eastAsia="zh-CN"/>
        </w:rPr>
        <w:t>服务</w:t>
      </w:r>
      <w:r>
        <w:rPr>
          <w:rFonts w:hint="eastAsia" w:ascii="仿宋" w:hAnsi="仿宋" w:eastAsia="仿宋" w:cs="仿宋"/>
          <w:lang w:eastAsia="zh-CN"/>
        </w:rPr>
        <w:t>，</w:t>
      </w:r>
      <w:r>
        <w:rPr>
          <w:rFonts w:hint="eastAsia" w:ascii="仿宋" w:hAnsi="仿宋" w:eastAsia="仿宋" w:cs="仿宋"/>
        </w:rPr>
        <w:t>详见招标文件采购需求部分</w:t>
      </w:r>
      <w:r>
        <w:rPr>
          <w:rFonts w:hint="eastAsia" w:ascii="仿宋" w:hAnsi="仿宋" w:eastAsia="仿宋" w:cs="仿宋"/>
          <w:lang w:eastAsia="zh-CN"/>
        </w:rPr>
        <w:t>。</w:t>
      </w:r>
    </w:p>
    <w:p w14:paraId="7A2A3D1D">
      <w:pPr>
        <w:pStyle w:val="21"/>
        <w:rPr>
          <w:rFonts w:ascii="仿宋" w:hAnsi="仿宋" w:eastAsia="仿宋" w:cs="仿宋"/>
        </w:rPr>
      </w:pPr>
      <w:r>
        <w:rPr>
          <w:rFonts w:ascii="仿宋" w:hAnsi="仿宋" w:eastAsia="仿宋" w:cs="仿宋"/>
        </w:rPr>
        <w:t>二、投标人资格要求</w:t>
      </w:r>
    </w:p>
    <w:p w14:paraId="6D4FCAC6">
      <w:pPr>
        <w:pStyle w:val="22"/>
        <w:ind w:firstLine="420" w:firstLineChars="0"/>
        <w:rPr>
          <w:rFonts w:ascii="仿宋" w:hAnsi="仿宋" w:eastAsia="仿宋" w:cs="仿宋"/>
          <w:b/>
          <w:bCs/>
        </w:rPr>
      </w:pPr>
      <w:r>
        <w:rPr>
          <w:rFonts w:ascii="仿宋" w:hAnsi="仿宋" w:eastAsia="仿宋" w:cs="仿宋"/>
          <w:b/>
          <w:bCs/>
        </w:rPr>
        <w:t>（一）一般资格要求：</w:t>
      </w:r>
    </w:p>
    <w:p w14:paraId="2F4A5BB8">
      <w:pPr>
        <w:pStyle w:val="22"/>
        <w:numPr>
          <w:ilvl w:val="0"/>
          <w:numId w:val="2"/>
        </w:numPr>
        <w:ind w:firstLineChars="0"/>
        <w:rPr>
          <w:rFonts w:ascii="仿宋" w:hAnsi="仿宋" w:eastAsia="仿宋" w:cs="仿宋"/>
        </w:rPr>
      </w:pPr>
      <w:r>
        <w:rPr>
          <w:rFonts w:ascii="仿宋" w:hAnsi="仿宋" w:eastAsia="仿宋" w:cs="仿宋"/>
        </w:rPr>
        <w:t>具有独立承担民事责任的能力；</w:t>
      </w:r>
    </w:p>
    <w:p w14:paraId="6F39035C">
      <w:pPr>
        <w:pStyle w:val="22"/>
        <w:numPr>
          <w:ilvl w:val="0"/>
          <w:numId w:val="2"/>
        </w:numPr>
        <w:ind w:firstLineChars="0"/>
        <w:rPr>
          <w:rFonts w:ascii="仿宋" w:hAnsi="仿宋" w:eastAsia="仿宋" w:cs="仿宋"/>
        </w:rPr>
      </w:pPr>
      <w:r>
        <w:rPr>
          <w:rFonts w:ascii="仿宋" w:hAnsi="仿宋" w:eastAsia="仿宋" w:cs="仿宋"/>
        </w:rPr>
        <w:t>具有良好的商业信誉和健全的财务会计制度；</w:t>
      </w:r>
    </w:p>
    <w:p w14:paraId="2681733B">
      <w:pPr>
        <w:pStyle w:val="22"/>
        <w:numPr>
          <w:ilvl w:val="0"/>
          <w:numId w:val="2"/>
        </w:numPr>
        <w:ind w:firstLineChars="0"/>
        <w:rPr>
          <w:rFonts w:ascii="仿宋" w:hAnsi="仿宋" w:eastAsia="仿宋" w:cs="仿宋"/>
        </w:rPr>
      </w:pPr>
      <w:r>
        <w:rPr>
          <w:rFonts w:ascii="仿宋" w:hAnsi="仿宋" w:eastAsia="仿宋" w:cs="仿宋"/>
        </w:rPr>
        <w:t>具有履行合同所必需的设备和专业技术能力；</w:t>
      </w:r>
    </w:p>
    <w:p w14:paraId="14B40EF8">
      <w:pPr>
        <w:pStyle w:val="22"/>
        <w:numPr>
          <w:ilvl w:val="0"/>
          <w:numId w:val="2"/>
        </w:numPr>
        <w:ind w:firstLineChars="0"/>
        <w:rPr>
          <w:rFonts w:ascii="仿宋" w:hAnsi="仿宋" w:eastAsia="仿宋" w:cs="仿宋"/>
        </w:rPr>
      </w:pPr>
      <w:r>
        <w:rPr>
          <w:rFonts w:hint="eastAsia" w:ascii="仿宋" w:hAnsi="仿宋" w:eastAsia="仿宋" w:cs="仿宋"/>
        </w:rPr>
        <w:t>有依法缴纳税收和社会保障资金的良好记录；</w:t>
      </w:r>
    </w:p>
    <w:p w14:paraId="1B26739E">
      <w:pPr>
        <w:pStyle w:val="22"/>
        <w:numPr>
          <w:ilvl w:val="0"/>
          <w:numId w:val="2"/>
        </w:numPr>
        <w:ind w:firstLineChars="0"/>
        <w:rPr>
          <w:rFonts w:ascii="仿宋" w:hAnsi="仿宋" w:eastAsia="仿宋" w:cs="仿宋"/>
        </w:rPr>
      </w:pPr>
      <w:r>
        <w:rPr>
          <w:rFonts w:ascii="仿宋" w:hAnsi="仿宋" w:eastAsia="仿宋" w:cs="仿宋"/>
        </w:rPr>
        <w:t>参加投标活动前三年内，在经营活动中没有重大违法记录。</w:t>
      </w:r>
    </w:p>
    <w:p w14:paraId="3B4EA879">
      <w:pPr>
        <w:pStyle w:val="22"/>
        <w:ind w:firstLine="420" w:firstLineChars="0"/>
        <w:rPr>
          <w:rFonts w:ascii="仿宋" w:hAnsi="仿宋" w:eastAsia="仿宋" w:cs="仿宋"/>
          <w:b/>
          <w:bCs/>
        </w:rPr>
      </w:pPr>
      <w:r>
        <w:rPr>
          <w:rFonts w:ascii="仿宋" w:hAnsi="仿宋" w:eastAsia="仿宋" w:cs="仿宋"/>
          <w:b/>
          <w:bCs/>
        </w:rPr>
        <w:t>（二）特定资格要求：</w:t>
      </w:r>
    </w:p>
    <w:p w14:paraId="668676CD">
      <w:pPr>
        <w:pStyle w:val="22"/>
        <w:numPr>
          <w:ilvl w:val="0"/>
          <w:numId w:val="0"/>
        </w:numPr>
        <w:ind w:left="420" w:leftChars="0" w:firstLine="482" w:firstLineChars="200"/>
        <w:rPr>
          <w:rFonts w:ascii="仿宋" w:hAnsi="仿宋" w:eastAsia="仿宋" w:cs="仿宋"/>
          <w:b/>
          <w:bCs/>
          <w:highlight w:val="none"/>
        </w:rPr>
      </w:pPr>
      <w:r>
        <w:rPr>
          <w:rFonts w:hint="eastAsia" w:ascii="仿宋" w:hAnsi="仿宋" w:eastAsia="仿宋" w:cs="仿宋"/>
          <w:b/>
          <w:bCs/>
          <w:highlight w:val="none"/>
          <w:lang w:val="en-US" w:eastAsia="zh-CN"/>
        </w:rPr>
        <w:t>投标人已成功在“社会消防技术服务信息系统”录入，且单位类型中同时包含“消防设施维护保养检测”、“消防安全评估”内容（提供网站查询结果页面并加盖投标人公章）</w:t>
      </w:r>
    </w:p>
    <w:p w14:paraId="381472E8">
      <w:pPr>
        <w:pStyle w:val="22"/>
        <w:ind w:firstLine="420" w:firstLineChars="0"/>
        <w:rPr>
          <w:rFonts w:ascii="仿宋" w:hAnsi="仿宋" w:eastAsia="仿宋" w:cs="仿宋"/>
          <w:b/>
          <w:bCs/>
        </w:rPr>
      </w:pPr>
      <w:r>
        <w:rPr>
          <w:rFonts w:ascii="仿宋" w:hAnsi="仿宋" w:eastAsia="仿宋" w:cs="仿宋"/>
          <w:b/>
          <w:bCs/>
        </w:rPr>
        <w:t>（三）其他说明：</w:t>
      </w:r>
    </w:p>
    <w:p w14:paraId="173D4415">
      <w:pPr>
        <w:pStyle w:val="22"/>
        <w:numPr>
          <w:ilvl w:val="0"/>
          <w:numId w:val="3"/>
        </w:numPr>
        <w:ind w:firstLineChars="0"/>
        <w:rPr>
          <w:rFonts w:ascii="仿宋" w:hAnsi="仿宋" w:eastAsia="仿宋" w:cs="仿宋"/>
        </w:rPr>
      </w:pPr>
      <w:r>
        <w:rPr>
          <w:rFonts w:ascii="仿宋" w:hAnsi="仿宋" w:eastAsia="仿宋" w:cs="仿宋"/>
        </w:rPr>
        <w:t>单位负责人为同一人或者存在直接控股、管理关系的不同供应商，不得参加同一合同项目下的政府采购活动；</w:t>
      </w:r>
    </w:p>
    <w:p w14:paraId="7818CCBB">
      <w:pPr>
        <w:pStyle w:val="22"/>
        <w:numPr>
          <w:ilvl w:val="0"/>
          <w:numId w:val="3"/>
        </w:numPr>
        <w:ind w:firstLineChars="0"/>
        <w:rPr>
          <w:rFonts w:ascii="仿宋" w:hAnsi="仿宋" w:eastAsia="仿宋" w:cs="仿宋"/>
        </w:rPr>
      </w:pPr>
      <w:r>
        <w:rPr>
          <w:rFonts w:ascii="仿宋" w:hAnsi="仿宋" w:eastAsia="仿宋" w:cs="仿宋"/>
        </w:rPr>
        <w:t>供应商书面承诺符合参与采购活动资格条件的，不需要再提供财务状况报告、依法缴纳税收和社会保障资金记录、无重大违法记录等证明材料；</w:t>
      </w:r>
    </w:p>
    <w:p w14:paraId="3D7F61CF">
      <w:pPr>
        <w:pStyle w:val="22"/>
        <w:numPr>
          <w:ilvl w:val="0"/>
          <w:numId w:val="3"/>
        </w:numPr>
        <w:ind w:firstLineChars="0"/>
        <w:rPr>
          <w:rFonts w:ascii="仿宋" w:hAnsi="仿宋" w:eastAsia="仿宋" w:cs="仿宋"/>
          <w:b/>
          <w:bCs/>
        </w:rPr>
      </w:pPr>
      <w:r>
        <w:rPr>
          <w:rFonts w:ascii="仿宋" w:hAnsi="仿宋" w:eastAsia="仿宋" w:cs="仿宋"/>
          <w:b/>
          <w:bCs/>
        </w:rPr>
        <w:t>本次招标不支持联合体投标</w:t>
      </w:r>
      <w:r>
        <w:rPr>
          <w:rFonts w:hint="eastAsia" w:ascii="仿宋" w:hAnsi="仿宋" w:eastAsia="仿宋" w:cs="仿宋"/>
          <w:b/>
          <w:bCs/>
          <w:lang w:eastAsia="zh-CN"/>
        </w:rPr>
        <w:t>，</w:t>
      </w:r>
      <w:r>
        <w:rPr>
          <w:rFonts w:hint="eastAsia" w:ascii="仿宋" w:hAnsi="仿宋" w:eastAsia="仿宋" w:cs="仿宋"/>
          <w:b/>
          <w:bCs/>
          <w:lang w:val="en-US" w:eastAsia="zh-CN"/>
        </w:rPr>
        <w:t>不接受转包</w:t>
      </w:r>
      <w:r>
        <w:rPr>
          <w:rFonts w:hint="eastAsia" w:ascii="仿宋" w:hAnsi="仿宋" w:eastAsia="仿宋" w:cs="仿宋"/>
          <w:b/>
          <w:bCs/>
          <w:lang w:eastAsia="zh-CN"/>
        </w:rPr>
        <w:t>、</w:t>
      </w:r>
      <w:r>
        <w:rPr>
          <w:rFonts w:ascii="仿宋" w:hAnsi="仿宋" w:eastAsia="仿宋" w:cs="仿宋"/>
          <w:b/>
          <w:bCs/>
        </w:rPr>
        <w:t>分包及备选方案。否则视为无效投标。</w:t>
      </w:r>
    </w:p>
    <w:p w14:paraId="6D4B1E0F">
      <w:pPr>
        <w:pStyle w:val="21"/>
        <w:rPr>
          <w:rFonts w:ascii="仿宋" w:hAnsi="仿宋" w:eastAsia="仿宋" w:cs="仿宋"/>
        </w:rPr>
      </w:pPr>
      <w:r>
        <w:rPr>
          <w:rFonts w:ascii="仿宋" w:hAnsi="仿宋" w:eastAsia="仿宋" w:cs="仿宋"/>
        </w:rPr>
        <w:t>三、投标文件要求</w:t>
      </w:r>
    </w:p>
    <w:p w14:paraId="4C17EAF5">
      <w:pPr>
        <w:pStyle w:val="22"/>
        <w:ind w:firstLine="420" w:firstLineChars="0"/>
        <w:rPr>
          <w:rFonts w:ascii="仿宋" w:hAnsi="仿宋" w:eastAsia="仿宋" w:cs="仿宋"/>
          <w:b/>
          <w:bCs/>
        </w:rPr>
      </w:pPr>
      <w:r>
        <w:rPr>
          <w:rFonts w:ascii="仿宋" w:hAnsi="仿宋" w:eastAsia="仿宋" w:cs="仿宋"/>
          <w:b/>
          <w:bCs/>
        </w:rPr>
        <w:t>（一）投标文件要求：</w:t>
      </w:r>
    </w:p>
    <w:p w14:paraId="3336CCAF">
      <w:pPr>
        <w:pStyle w:val="22"/>
        <w:ind w:firstLine="420" w:firstLineChars="0"/>
        <w:rPr>
          <w:rFonts w:ascii="仿宋" w:hAnsi="仿宋" w:eastAsia="仿宋" w:cs="仿宋"/>
        </w:rPr>
      </w:pPr>
      <w:r>
        <w:rPr>
          <w:rFonts w:ascii="仿宋" w:hAnsi="仿宋" w:eastAsia="仿宋" w:cs="仿宋"/>
          <w:b/>
          <w:bCs/>
        </w:rPr>
        <w:t>投标文件由《资格文件》《技术商务文件》和《报价文件》三部分组成，投标人应按《资格文件》《技术商务文件》和《报价文件》正本各1份、副本各1份编制，文件须密封并胶装成册，《报价文件》需单独密封，三部分文件封面及每一页均需加盖供应商公章。所有证件均须真实、有效，原件、复印件均须加盖公章，缺少以上任意一部分内容即作无效标处理。</w:t>
      </w:r>
    </w:p>
    <w:p w14:paraId="6AFAC269">
      <w:pPr>
        <w:pStyle w:val="22"/>
        <w:ind w:firstLine="420" w:firstLineChars="0"/>
        <w:rPr>
          <w:rFonts w:ascii="仿宋" w:hAnsi="仿宋" w:eastAsia="仿宋" w:cs="仿宋"/>
          <w:b/>
          <w:bCs/>
          <w:highlight w:val="none"/>
        </w:rPr>
      </w:pPr>
      <w:r>
        <w:rPr>
          <w:rFonts w:ascii="仿宋" w:hAnsi="仿宋" w:eastAsia="仿宋" w:cs="仿宋"/>
          <w:b/>
          <w:bCs/>
          <w:highlight w:val="none"/>
        </w:rPr>
        <w:t>（二）资格文件：</w:t>
      </w:r>
    </w:p>
    <w:p w14:paraId="5FD8189D">
      <w:pPr>
        <w:pStyle w:val="22"/>
        <w:numPr>
          <w:ilvl w:val="0"/>
          <w:numId w:val="4"/>
        </w:numPr>
        <w:ind w:firstLineChars="0"/>
        <w:rPr>
          <w:rFonts w:ascii="仿宋" w:hAnsi="仿宋" w:eastAsia="仿宋" w:cs="仿宋"/>
        </w:rPr>
      </w:pPr>
      <w:r>
        <w:rPr>
          <w:rFonts w:ascii="仿宋" w:hAnsi="仿宋" w:eastAsia="仿宋" w:cs="仿宋"/>
        </w:rPr>
        <w:t>有效的营业执照复印件，非法人企业需提供其他证明材料（加盖公章）；</w:t>
      </w:r>
    </w:p>
    <w:p w14:paraId="3653ED80">
      <w:pPr>
        <w:pStyle w:val="22"/>
        <w:numPr>
          <w:ilvl w:val="0"/>
          <w:numId w:val="4"/>
        </w:numPr>
        <w:ind w:firstLineChars="0"/>
        <w:rPr>
          <w:rFonts w:ascii="仿宋" w:hAnsi="仿宋" w:eastAsia="仿宋" w:cs="仿宋"/>
        </w:rPr>
      </w:pPr>
      <w:r>
        <w:rPr>
          <w:rFonts w:ascii="仿宋" w:hAnsi="仿宋" w:eastAsia="仿宋" w:cs="仿宋"/>
        </w:rPr>
        <w:t>法定代表人身份证复印件（加盖公章）；如非法定代表人参与开标，需额外提供法定代表人授权委托书原件（加盖公章）、授权委托人身份证复印件（加盖公章）；</w:t>
      </w:r>
      <w:bookmarkStart w:id="2" w:name="_GoBack"/>
      <w:bookmarkEnd w:id="2"/>
    </w:p>
    <w:p w14:paraId="23EBDE32">
      <w:pPr>
        <w:pStyle w:val="22"/>
        <w:numPr>
          <w:ilvl w:val="0"/>
          <w:numId w:val="4"/>
        </w:numPr>
        <w:ind w:firstLineChars="0"/>
        <w:rPr>
          <w:rFonts w:hint="eastAsia" w:ascii="仿宋" w:hAnsi="仿宋" w:eastAsia="仿宋" w:cs="仿宋"/>
          <w:b w:val="0"/>
          <w:bCs w:val="0"/>
          <w:color w:val="auto"/>
          <w:highlight w:val="none"/>
          <w:lang w:val="en-US" w:eastAsia="zh-CN"/>
        </w:rPr>
      </w:pPr>
      <w:r>
        <w:rPr>
          <w:rFonts w:ascii="仿宋" w:hAnsi="仿宋" w:eastAsia="仿宋" w:cs="仿宋"/>
          <w:b w:val="0"/>
          <w:bCs w:val="0"/>
          <w:color w:val="auto"/>
          <w:highlight w:val="none"/>
        </w:rPr>
        <w:t>投标声明书；</w:t>
      </w:r>
    </w:p>
    <w:p w14:paraId="0151C65B">
      <w:pPr>
        <w:pStyle w:val="22"/>
        <w:numPr>
          <w:ilvl w:val="0"/>
          <w:numId w:val="4"/>
        </w:numPr>
        <w:ind w:firstLineChars="0"/>
        <w:rPr>
          <w:rFonts w:hint="eastAsia" w:ascii="仿宋" w:hAnsi="仿宋" w:eastAsia="仿宋" w:cs="仿宋"/>
          <w:b/>
          <w:bCs/>
          <w:color w:val="auto"/>
          <w:highlight w:val="none"/>
          <w:lang w:val="en-US" w:eastAsia="zh-CN"/>
        </w:rPr>
      </w:pPr>
      <w:r>
        <w:rPr>
          <w:rFonts w:hint="eastAsia" w:ascii="仿宋" w:hAnsi="仿宋" w:eastAsia="仿宋" w:cs="仿宋"/>
          <w:b/>
          <w:bCs/>
          <w:color w:val="auto"/>
          <w:highlight w:val="none"/>
          <w:lang w:val="en-US" w:eastAsia="zh-CN"/>
        </w:rPr>
        <w:t>在“社会消防技术服务信息系统”已录入备案的证明材料（单位类型中同时包含“消防设施维护保养检测”、“消防安全评估”），提供网站查询结果页面并加盖投标人公章。</w:t>
      </w:r>
    </w:p>
    <w:p w14:paraId="4DAE9FC9">
      <w:pPr>
        <w:pStyle w:val="22"/>
        <w:ind w:firstLine="420" w:firstLineChars="0"/>
        <w:rPr>
          <w:rFonts w:ascii="仿宋" w:hAnsi="仿宋" w:eastAsia="仿宋" w:cs="仿宋"/>
          <w:b/>
          <w:bCs/>
        </w:rPr>
      </w:pPr>
      <w:r>
        <w:rPr>
          <w:rFonts w:ascii="仿宋" w:hAnsi="仿宋" w:eastAsia="仿宋" w:cs="仿宋"/>
          <w:b/>
          <w:bCs/>
        </w:rPr>
        <w:t>（三）技术商务文件：</w:t>
      </w:r>
    </w:p>
    <w:p w14:paraId="6B2D0FC5">
      <w:pPr>
        <w:pStyle w:val="22"/>
        <w:numPr>
          <w:ilvl w:val="0"/>
          <w:numId w:val="5"/>
        </w:numPr>
        <w:ind w:left="845" w:leftChars="0" w:hanging="425" w:firstLineChars="0"/>
        <w:rPr>
          <w:rFonts w:hint="eastAsia" w:ascii="仿宋" w:hAnsi="仿宋" w:eastAsia="仿宋" w:cs="仿宋"/>
          <w:highlight w:val="none"/>
        </w:rPr>
      </w:pPr>
      <w:r>
        <w:rPr>
          <w:rFonts w:hint="eastAsia" w:ascii="仿宋" w:hAnsi="仿宋" w:eastAsia="仿宋" w:cs="仿宋"/>
          <w:highlight w:val="none"/>
        </w:rPr>
        <w:t>评分索引表；</w:t>
      </w:r>
    </w:p>
    <w:p w14:paraId="701D10FE">
      <w:pPr>
        <w:pStyle w:val="22"/>
        <w:numPr>
          <w:ilvl w:val="0"/>
          <w:numId w:val="5"/>
        </w:numPr>
        <w:ind w:left="845" w:leftChars="0" w:hanging="425" w:firstLineChars="0"/>
        <w:rPr>
          <w:rFonts w:hint="eastAsia" w:ascii="仿宋" w:hAnsi="仿宋" w:eastAsia="仿宋" w:cs="仿宋"/>
          <w:highlight w:val="none"/>
        </w:rPr>
      </w:pPr>
      <w:r>
        <w:rPr>
          <w:rFonts w:hint="eastAsia" w:ascii="仿宋" w:hAnsi="仿宋" w:eastAsia="仿宋" w:cs="仿宋"/>
          <w:highlight w:val="none"/>
        </w:rPr>
        <w:t>需求响应表；</w:t>
      </w:r>
    </w:p>
    <w:p w14:paraId="74932FDA">
      <w:pPr>
        <w:pStyle w:val="22"/>
        <w:numPr>
          <w:ilvl w:val="0"/>
          <w:numId w:val="5"/>
        </w:numPr>
        <w:ind w:left="845" w:leftChars="0" w:hanging="425" w:firstLineChars="0"/>
        <w:rPr>
          <w:rFonts w:hint="eastAsia" w:ascii="仿宋" w:hAnsi="仿宋" w:eastAsia="仿宋" w:cs="仿宋"/>
          <w:highlight w:val="none"/>
        </w:rPr>
      </w:pPr>
      <w:r>
        <w:rPr>
          <w:rFonts w:hint="eastAsia" w:ascii="仿宋" w:hAnsi="仿宋" w:eastAsia="仿宋" w:cs="仿宋"/>
          <w:highlight w:val="none"/>
        </w:rPr>
        <w:t>商务响应表；</w:t>
      </w:r>
    </w:p>
    <w:p w14:paraId="340F7503">
      <w:pPr>
        <w:pStyle w:val="22"/>
        <w:numPr>
          <w:ilvl w:val="0"/>
          <w:numId w:val="5"/>
        </w:numPr>
        <w:ind w:left="845" w:leftChars="0" w:hanging="425" w:firstLineChars="0"/>
        <w:rPr>
          <w:rFonts w:hint="eastAsia" w:ascii="仿宋" w:hAnsi="仿宋" w:eastAsia="仿宋" w:cs="仿宋"/>
          <w:highlight w:val="none"/>
        </w:rPr>
      </w:pPr>
      <w:r>
        <w:rPr>
          <w:rFonts w:hint="eastAsia" w:ascii="仿宋" w:hAnsi="仿宋" w:eastAsia="仿宋" w:cs="仿宋"/>
          <w:highlight w:val="none"/>
        </w:rPr>
        <w:t>实施方案</w:t>
      </w:r>
      <w:r>
        <w:rPr>
          <w:rFonts w:hint="eastAsia" w:ascii="仿宋" w:hAnsi="仿宋" w:eastAsia="仿宋" w:cs="仿宋"/>
          <w:highlight w:val="none"/>
          <w:lang w:eastAsia="zh-CN"/>
        </w:rPr>
        <w:t>；</w:t>
      </w:r>
    </w:p>
    <w:p w14:paraId="21A5BCCF">
      <w:pPr>
        <w:pStyle w:val="22"/>
        <w:numPr>
          <w:ilvl w:val="0"/>
          <w:numId w:val="5"/>
        </w:numPr>
        <w:ind w:left="845" w:leftChars="0" w:hanging="425" w:firstLineChars="0"/>
        <w:rPr>
          <w:rFonts w:hint="eastAsia" w:ascii="仿宋" w:hAnsi="仿宋" w:eastAsia="仿宋" w:cs="仿宋"/>
          <w:highlight w:val="none"/>
        </w:rPr>
      </w:pPr>
      <w:r>
        <w:rPr>
          <w:rFonts w:hint="eastAsia" w:ascii="仿宋" w:hAnsi="仿宋" w:eastAsia="仿宋" w:cs="仿宋"/>
          <w:highlight w:val="none"/>
        </w:rPr>
        <w:t>重难点分析</w:t>
      </w:r>
      <w:r>
        <w:rPr>
          <w:rFonts w:hint="eastAsia" w:ascii="仿宋" w:hAnsi="仿宋" w:eastAsia="仿宋" w:cs="仿宋"/>
          <w:highlight w:val="none"/>
          <w:lang w:eastAsia="zh-CN"/>
        </w:rPr>
        <w:t>；</w:t>
      </w:r>
    </w:p>
    <w:p w14:paraId="76ABFE42">
      <w:pPr>
        <w:pStyle w:val="22"/>
        <w:numPr>
          <w:ilvl w:val="0"/>
          <w:numId w:val="5"/>
        </w:numPr>
        <w:ind w:left="845" w:leftChars="0" w:hanging="425" w:firstLineChars="0"/>
        <w:rPr>
          <w:rFonts w:hint="eastAsia" w:ascii="仿宋" w:hAnsi="仿宋" w:eastAsia="仿宋" w:cs="仿宋"/>
          <w:highlight w:val="none"/>
        </w:rPr>
      </w:pPr>
      <w:r>
        <w:rPr>
          <w:rFonts w:hint="eastAsia" w:ascii="仿宋" w:hAnsi="仿宋" w:eastAsia="仿宋" w:cs="仿宋"/>
          <w:highlight w:val="none"/>
        </w:rPr>
        <w:t>管理措施</w:t>
      </w:r>
      <w:r>
        <w:rPr>
          <w:rFonts w:hint="eastAsia" w:ascii="仿宋" w:hAnsi="仿宋" w:eastAsia="仿宋" w:cs="仿宋"/>
          <w:highlight w:val="none"/>
          <w:lang w:eastAsia="zh-CN"/>
        </w:rPr>
        <w:t>；</w:t>
      </w:r>
    </w:p>
    <w:p w14:paraId="160DCAC1">
      <w:pPr>
        <w:pStyle w:val="22"/>
        <w:numPr>
          <w:ilvl w:val="0"/>
          <w:numId w:val="5"/>
        </w:numPr>
        <w:ind w:left="845" w:leftChars="0" w:hanging="425" w:firstLineChars="0"/>
        <w:rPr>
          <w:rFonts w:hint="eastAsia" w:ascii="仿宋" w:hAnsi="仿宋" w:eastAsia="仿宋" w:cs="仿宋"/>
          <w:highlight w:val="none"/>
        </w:rPr>
      </w:pPr>
      <w:r>
        <w:rPr>
          <w:rFonts w:hint="eastAsia" w:ascii="仿宋" w:hAnsi="仿宋" w:eastAsia="仿宋" w:cs="仿宋"/>
          <w:highlight w:val="none"/>
        </w:rPr>
        <w:t>项目拟派人员</w:t>
      </w:r>
      <w:r>
        <w:rPr>
          <w:rFonts w:hint="eastAsia" w:ascii="仿宋" w:hAnsi="仿宋" w:eastAsia="仿宋" w:cs="仿宋"/>
          <w:highlight w:val="none"/>
          <w:lang w:eastAsia="zh-CN"/>
        </w:rPr>
        <w:t>；</w:t>
      </w:r>
    </w:p>
    <w:p w14:paraId="587414BE">
      <w:pPr>
        <w:pStyle w:val="22"/>
        <w:numPr>
          <w:ilvl w:val="0"/>
          <w:numId w:val="5"/>
        </w:numPr>
        <w:ind w:left="845" w:leftChars="0" w:hanging="425" w:firstLineChars="0"/>
        <w:rPr>
          <w:rFonts w:hint="eastAsia" w:ascii="仿宋" w:hAnsi="仿宋" w:eastAsia="仿宋" w:cs="仿宋"/>
          <w:highlight w:val="none"/>
        </w:rPr>
      </w:pPr>
      <w:r>
        <w:rPr>
          <w:rFonts w:hint="eastAsia" w:ascii="仿宋" w:hAnsi="仿宋" w:eastAsia="仿宋" w:cs="仿宋"/>
          <w:highlight w:val="none"/>
        </w:rPr>
        <w:t>培训方案</w:t>
      </w:r>
      <w:r>
        <w:rPr>
          <w:rFonts w:hint="eastAsia" w:ascii="仿宋" w:hAnsi="仿宋" w:eastAsia="仿宋" w:cs="仿宋"/>
          <w:highlight w:val="none"/>
          <w:lang w:eastAsia="zh-CN"/>
        </w:rPr>
        <w:t>；</w:t>
      </w:r>
    </w:p>
    <w:p w14:paraId="79D39E7D">
      <w:pPr>
        <w:pStyle w:val="22"/>
        <w:numPr>
          <w:ilvl w:val="0"/>
          <w:numId w:val="5"/>
        </w:numPr>
        <w:ind w:left="845" w:leftChars="0" w:hanging="425" w:firstLineChars="0"/>
        <w:rPr>
          <w:rFonts w:hint="eastAsia" w:ascii="仿宋" w:hAnsi="仿宋" w:eastAsia="仿宋" w:cs="仿宋"/>
          <w:highlight w:val="none"/>
        </w:rPr>
      </w:pPr>
      <w:r>
        <w:rPr>
          <w:rFonts w:hint="eastAsia" w:ascii="仿宋" w:hAnsi="仿宋" w:eastAsia="仿宋" w:cs="仿宋"/>
          <w:highlight w:val="none"/>
        </w:rPr>
        <w:t>应急预案</w:t>
      </w:r>
      <w:r>
        <w:rPr>
          <w:rFonts w:hint="eastAsia" w:ascii="仿宋" w:hAnsi="仿宋" w:eastAsia="仿宋" w:cs="仿宋"/>
          <w:highlight w:val="none"/>
          <w:lang w:eastAsia="zh-CN"/>
        </w:rPr>
        <w:t>；</w:t>
      </w:r>
    </w:p>
    <w:p w14:paraId="6A0E0071">
      <w:pPr>
        <w:pStyle w:val="22"/>
        <w:numPr>
          <w:ilvl w:val="0"/>
          <w:numId w:val="5"/>
        </w:numPr>
        <w:ind w:left="845" w:leftChars="0" w:hanging="425" w:firstLineChars="0"/>
        <w:rPr>
          <w:rFonts w:hint="eastAsia" w:ascii="仿宋" w:hAnsi="仿宋" w:eastAsia="仿宋" w:cs="仿宋"/>
          <w:highlight w:val="none"/>
        </w:rPr>
      </w:pPr>
      <w:r>
        <w:rPr>
          <w:rFonts w:hint="eastAsia" w:ascii="仿宋" w:hAnsi="仿宋" w:eastAsia="仿宋" w:cs="仿宋"/>
          <w:highlight w:val="none"/>
        </w:rPr>
        <w:t>设备配备</w:t>
      </w:r>
      <w:r>
        <w:rPr>
          <w:rFonts w:hint="eastAsia" w:ascii="仿宋" w:hAnsi="仿宋" w:eastAsia="仿宋" w:cs="仿宋"/>
          <w:highlight w:val="none"/>
          <w:lang w:eastAsia="zh-CN"/>
        </w:rPr>
        <w:t>；</w:t>
      </w:r>
    </w:p>
    <w:p w14:paraId="0065E5A6">
      <w:pPr>
        <w:pStyle w:val="22"/>
        <w:numPr>
          <w:ilvl w:val="0"/>
          <w:numId w:val="5"/>
        </w:numPr>
        <w:ind w:left="845" w:leftChars="0" w:hanging="425" w:firstLineChars="0"/>
        <w:rPr>
          <w:rFonts w:hint="eastAsia" w:ascii="仿宋" w:hAnsi="仿宋" w:eastAsia="仿宋" w:cs="仿宋"/>
          <w:highlight w:val="none"/>
        </w:rPr>
      </w:pPr>
      <w:r>
        <w:rPr>
          <w:rFonts w:hint="eastAsia" w:ascii="仿宋" w:hAnsi="仿宋" w:eastAsia="仿宋" w:cs="仿宋"/>
          <w:highlight w:val="none"/>
        </w:rPr>
        <w:t>合理化建议</w:t>
      </w:r>
      <w:r>
        <w:rPr>
          <w:rFonts w:hint="eastAsia" w:ascii="仿宋" w:hAnsi="仿宋" w:eastAsia="仿宋" w:cs="仿宋"/>
          <w:highlight w:val="none"/>
          <w:lang w:eastAsia="zh-CN"/>
        </w:rPr>
        <w:t>；</w:t>
      </w:r>
    </w:p>
    <w:p w14:paraId="28B278CA">
      <w:pPr>
        <w:pStyle w:val="22"/>
        <w:numPr>
          <w:ilvl w:val="0"/>
          <w:numId w:val="5"/>
        </w:numPr>
        <w:ind w:left="845" w:leftChars="0" w:hanging="425" w:firstLineChars="0"/>
        <w:rPr>
          <w:rFonts w:hint="eastAsia" w:ascii="仿宋" w:hAnsi="仿宋" w:eastAsia="仿宋" w:cs="仿宋"/>
          <w:highlight w:val="none"/>
        </w:rPr>
      </w:pPr>
      <w:r>
        <w:rPr>
          <w:rFonts w:hint="eastAsia" w:ascii="仿宋" w:hAnsi="仿宋" w:eastAsia="仿宋" w:cs="仿宋"/>
          <w:highlight w:val="none"/>
        </w:rPr>
        <w:t>企业业绩</w:t>
      </w:r>
      <w:r>
        <w:rPr>
          <w:rFonts w:hint="eastAsia" w:ascii="仿宋" w:hAnsi="仿宋" w:eastAsia="仿宋" w:cs="仿宋"/>
          <w:highlight w:val="none"/>
          <w:lang w:eastAsia="zh-CN"/>
        </w:rPr>
        <w:t>；</w:t>
      </w:r>
    </w:p>
    <w:p w14:paraId="472F8922">
      <w:pPr>
        <w:pStyle w:val="22"/>
        <w:numPr>
          <w:ilvl w:val="0"/>
          <w:numId w:val="5"/>
        </w:numPr>
        <w:ind w:left="845" w:leftChars="0" w:hanging="425" w:firstLineChars="0"/>
        <w:rPr>
          <w:rFonts w:hint="eastAsia" w:ascii="仿宋" w:hAnsi="仿宋" w:eastAsia="仿宋" w:cs="仿宋"/>
          <w:highlight w:val="none"/>
        </w:rPr>
      </w:pPr>
      <w:r>
        <w:rPr>
          <w:rFonts w:hint="eastAsia" w:ascii="仿宋" w:hAnsi="仿宋" w:eastAsia="仿宋" w:cs="仿宋"/>
          <w:highlight w:val="none"/>
        </w:rPr>
        <w:t>其他供应商认为有需要提交的资料。</w:t>
      </w:r>
    </w:p>
    <w:p w14:paraId="646103A7">
      <w:pPr>
        <w:pStyle w:val="22"/>
        <w:ind w:firstLine="420" w:firstLineChars="0"/>
        <w:rPr>
          <w:rFonts w:ascii="仿宋" w:hAnsi="仿宋" w:eastAsia="仿宋" w:cs="仿宋"/>
          <w:b/>
          <w:bCs/>
        </w:rPr>
      </w:pPr>
      <w:r>
        <w:rPr>
          <w:rFonts w:ascii="仿宋" w:hAnsi="仿宋" w:eastAsia="仿宋" w:cs="仿宋"/>
          <w:b/>
          <w:bCs/>
        </w:rPr>
        <w:t>（四）报价文件：</w:t>
      </w:r>
    </w:p>
    <w:p w14:paraId="4698B081">
      <w:pPr>
        <w:pStyle w:val="22"/>
        <w:numPr>
          <w:ilvl w:val="0"/>
          <w:numId w:val="6"/>
        </w:numPr>
        <w:ind w:left="845" w:leftChars="0" w:firstLineChars="0"/>
        <w:rPr>
          <w:rFonts w:ascii="仿宋" w:hAnsi="仿宋" w:eastAsia="仿宋" w:cs="仿宋"/>
        </w:rPr>
      </w:pPr>
      <w:r>
        <w:rPr>
          <w:rFonts w:ascii="仿宋" w:hAnsi="仿宋" w:eastAsia="仿宋" w:cs="仿宋"/>
        </w:rPr>
        <w:t>投标响应函；</w:t>
      </w:r>
    </w:p>
    <w:p w14:paraId="10F8B661">
      <w:pPr>
        <w:pStyle w:val="22"/>
        <w:numPr>
          <w:ilvl w:val="0"/>
          <w:numId w:val="6"/>
        </w:numPr>
        <w:ind w:left="845" w:leftChars="0" w:firstLineChars="0"/>
        <w:rPr>
          <w:rFonts w:hint="default" w:ascii="仿宋" w:hAnsi="仿宋" w:eastAsia="仿宋" w:cs="仿宋"/>
        </w:rPr>
      </w:pPr>
      <w:r>
        <w:rPr>
          <w:rFonts w:ascii="仿宋" w:hAnsi="仿宋" w:eastAsia="仿宋" w:cs="仿宋"/>
        </w:rPr>
        <w:t>报价一览表</w:t>
      </w:r>
      <w:r>
        <w:rPr>
          <w:rFonts w:hint="eastAsia" w:ascii="仿宋" w:hAnsi="仿宋" w:eastAsia="仿宋" w:cs="仿宋"/>
          <w:lang w:eastAsia="zh-CN"/>
        </w:rPr>
        <w:t>（</w:t>
      </w:r>
      <w:r>
        <w:rPr>
          <w:rFonts w:hint="eastAsia" w:ascii="仿宋" w:hAnsi="仿宋" w:eastAsia="仿宋" w:cs="仿宋"/>
        </w:rPr>
        <w:t>湖州学院消防设施年度检测、消防安全评估项目、检查所需全部费用，包含且不限于项目所产生的检测费、评估费、设备费、人工费、运输费、交通费、管理费、报告出具费、税费等所有费用</w:t>
      </w:r>
      <w:r>
        <w:rPr>
          <w:rFonts w:hint="eastAsia" w:ascii="仿宋" w:hAnsi="仿宋" w:eastAsia="仿宋" w:cs="仿宋"/>
          <w:lang w:eastAsia="zh-CN"/>
        </w:rPr>
        <w:t>）</w:t>
      </w:r>
      <w:r>
        <w:rPr>
          <w:rFonts w:ascii="仿宋" w:hAnsi="仿宋" w:eastAsia="仿宋" w:cs="仿宋"/>
        </w:rPr>
        <w:t>。</w:t>
      </w:r>
    </w:p>
    <w:p w14:paraId="2E91D49B">
      <w:pPr>
        <w:pStyle w:val="22"/>
        <w:numPr>
          <w:ilvl w:val="0"/>
          <w:numId w:val="0"/>
        </w:numPr>
        <w:ind w:leftChars="0" w:firstLine="420" w:firstLineChars="0"/>
        <w:rPr>
          <w:rFonts w:hint="eastAsia" w:ascii="仿宋" w:hAnsi="仿宋" w:eastAsia="仿宋" w:cs="仿宋"/>
          <w:b/>
          <w:bCs/>
          <w:lang w:eastAsia="zh-CN"/>
        </w:rPr>
      </w:pPr>
      <w:r>
        <w:rPr>
          <w:rFonts w:ascii="仿宋" w:hAnsi="仿宋" w:eastAsia="仿宋" w:cs="仿宋"/>
          <w:b/>
          <w:bCs/>
          <w:color w:val="auto"/>
        </w:rPr>
        <w:t>注：</w:t>
      </w:r>
      <w:r>
        <w:rPr>
          <w:rFonts w:hint="eastAsia" w:ascii="仿宋" w:hAnsi="仿宋" w:eastAsia="仿宋" w:cs="仿宋"/>
          <w:b/>
          <w:bCs/>
          <w:color w:val="auto"/>
          <w:lang w:eastAsia="zh-CN"/>
        </w:rPr>
        <w:t>（</w:t>
      </w:r>
      <w:r>
        <w:rPr>
          <w:rFonts w:hint="eastAsia" w:ascii="仿宋" w:hAnsi="仿宋" w:eastAsia="仿宋" w:cs="仿宋"/>
          <w:b/>
          <w:bCs/>
          <w:color w:val="auto"/>
          <w:lang w:val="en-US" w:eastAsia="zh-CN"/>
        </w:rPr>
        <w:t>1</w:t>
      </w:r>
      <w:r>
        <w:rPr>
          <w:rFonts w:hint="eastAsia" w:ascii="仿宋" w:hAnsi="仿宋" w:eastAsia="仿宋" w:cs="仿宋"/>
          <w:b/>
          <w:bCs/>
          <w:color w:val="auto"/>
          <w:lang w:eastAsia="zh-CN"/>
        </w:rPr>
        <w:t>）</w:t>
      </w:r>
      <w:r>
        <w:rPr>
          <w:rFonts w:ascii="仿宋" w:hAnsi="仿宋" w:eastAsia="仿宋" w:cs="仿宋"/>
          <w:b/>
          <w:bCs/>
          <w:color w:val="auto"/>
        </w:rPr>
        <w:t>投标报价需提供总价金额，报价以</w:t>
      </w:r>
      <w:r>
        <w:rPr>
          <w:rFonts w:ascii="仿宋" w:hAnsi="仿宋" w:eastAsia="仿宋" w:cs="仿宋"/>
          <w:b/>
          <w:bCs/>
        </w:rPr>
        <w:t>人民币计，并以大写为准</w:t>
      </w:r>
      <w:r>
        <w:rPr>
          <w:rFonts w:hint="eastAsia" w:ascii="仿宋" w:hAnsi="仿宋" w:eastAsia="仿宋" w:cs="仿宋"/>
          <w:b/>
          <w:bCs/>
          <w:lang w:eastAsia="zh-CN"/>
        </w:rPr>
        <w:t>。</w:t>
      </w:r>
    </w:p>
    <w:p w14:paraId="3CB1B1D2">
      <w:pPr>
        <w:pStyle w:val="22"/>
        <w:ind w:firstLine="241" w:firstLineChars="100"/>
        <w:rPr>
          <w:rFonts w:ascii="仿宋" w:hAnsi="仿宋" w:eastAsia="仿宋" w:cs="仿宋"/>
          <w:b/>
          <w:bCs/>
        </w:rPr>
      </w:pPr>
      <w:r>
        <w:rPr>
          <w:rFonts w:hint="eastAsia" w:ascii="仿宋" w:hAnsi="仿宋" w:eastAsia="仿宋" w:cs="仿宋"/>
          <w:b/>
          <w:bCs/>
          <w:lang w:eastAsia="zh-CN"/>
        </w:rPr>
        <w:t>（</w:t>
      </w:r>
      <w:r>
        <w:rPr>
          <w:rFonts w:hint="eastAsia" w:ascii="仿宋" w:hAnsi="仿宋" w:eastAsia="仿宋" w:cs="仿宋"/>
          <w:b/>
          <w:bCs/>
          <w:lang w:val="en-US" w:eastAsia="zh-CN"/>
        </w:rPr>
        <w:t>2</w:t>
      </w:r>
      <w:r>
        <w:rPr>
          <w:rFonts w:hint="eastAsia" w:ascii="仿宋" w:hAnsi="仿宋" w:eastAsia="仿宋" w:cs="仿宋"/>
          <w:b/>
          <w:bCs/>
          <w:lang w:eastAsia="zh-CN"/>
        </w:rPr>
        <w:t>）</w:t>
      </w:r>
      <w:r>
        <w:rPr>
          <w:rFonts w:ascii="仿宋" w:hAnsi="仿宋" w:eastAsia="仿宋" w:cs="仿宋"/>
          <w:b/>
          <w:bCs/>
        </w:rPr>
        <w:t>高于采购预算视为无效报价。</w:t>
      </w:r>
    </w:p>
    <w:p w14:paraId="439F3606">
      <w:pPr>
        <w:pStyle w:val="22"/>
        <w:ind w:firstLine="241" w:firstLineChars="100"/>
        <w:rPr>
          <w:rFonts w:ascii="仿宋" w:hAnsi="仿宋" w:eastAsia="仿宋" w:cs="仿宋"/>
          <w:b/>
          <w:bCs/>
        </w:rPr>
      </w:pPr>
      <w:r>
        <w:rPr>
          <w:rFonts w:hint="eastAsia" w:ascii="仿宋" w:hAnsi="仿宋" w:eastAsia="仿宋" w:cs="仿宋"/>
          <w:b/>
          <w:bCs/>
          <w:lang w:eastAsia="zh-CN"/>
        </w:rPr>
        <w:t>（</w:t>
      </w:r>
      <w:r>
        <w:rPr>
          <w:rFonts w:hint="eastAsia" w:ascii="仿宋" w:hAnsi="仿宋" w:eastAsia="仿宋" w:cs="仿宋"/>
          <w:b/>
          <w:bCs/>
          <w:lang w:val="en-US" w:eastAsia="zh-CN"/>
        </w:rPr>
        <w:t>3</w:t>
      </w:r>
      <w:r>
        <w:rPr>
          <w:rFonts w:hint="eastAsia" w:ascii="仿宋" w:hAnsi="仿宋" w:eastAsia="仿宋" w:cs="仿宋"/>
          <w:b/>
          <w:bCs/>
          <w:lang w:eastAsia="zh-CN"/>
        </w:rPr>
        <w:t>）</w:t>
      </w:r>
      <w:r>
        <w:rPr>
          <w:rFonts w:ascii="仿宋" w:hAnsi="仿宋" w:eastAsia="仿宋" w:cs="仿宋"/>
          <w:b/>
          <w:bCs/>
        </w:rPr>
        <w:t>报价应由法定代表人或其授权代表签字确认并加盖公章。</w:t>
      </w:r>
    </w:p>
    <w:p w14:paraId="12D8CABB">
      <w:pPr>
        <w:pStyle w:val="22"/>
        <w:ind w:firstLine="420" w:firstLineChars="0"/>
        <w:rPr>
          <w:rFonts w:ascii="仿宋" w:hAnsi="仿宋" w:eastAsia="仿宋" w:cs="仿宋"/>
        </w:rPr>
      </w:pPr>
      <w:r>
        <w:rPr>
          <w:rFonts w:ascii="仿宋" w:hAnsi="仿宋" w:eastAsia="仿宋" w:cs="仿宋"/>
        </w:rPr>
        <w:t>以上材料模板见附件。</w:t>
      </w:r>
    </w:p>
    <w:p w14:paraId="4B1B386B">
      <w:pPr>
        <w:pStyle w:val="21"/>
        <w:rPr>
          <w:rFonts w:ascii="仿宋" w:hAnsi="仿宋" w:eastAsia="仿宋" w:cs="仿宋"/>
        </w:rPr>
      </w:pPr>
      <w:r>
        <w:rPr>
          <w:rFonts w:ascii="仿宋" w:hAnsi="仿宋" w:eastAsia="仿宋" w:cs="仿宋"/>
        </w:rPr>
        <w:t>四、投标文件递交、开标时间</w:t>
      </w:r>
    </w:p>
    <w:p w14:paraId="7EBEE13F">
      <w:pPr>
        <w:pStyle w:val="22"/>
        <w:ind w:firstLine="420" w:firstLineChars="0"/>
        <w:rPr>
          <w:rFonts w:ascii="仿宋" w:hAnsi="仿宋" w:eastAsia="仿宋" w:cs="仿宋"/>
          <w:highlight w:val="none"/>
        </w:rPr>
      </w:pPr>
      <w:r>
        <w:rPr>
          <w:rFonts w:ascii="仿宋" w:hAnsi="仿宋" w:eastAsia="仿宋" w:cs="仿宋"/>
          <w:highlight w:val="none"/>
        </w:rPr>
        <w:t>（一）投标文件投递截止时间：202</w:t>
      </w:r>
      <w:r>
        <w:rPr>
          <w:rFonts w:hint="eastAsia" w:ascii="仿宋" w:hAnsi="仿宋" w:eastAsia="仿宋" w:cs="仿宋"/>
          <w:highlight w:val="none"/>
          <w:lang w:val="en-US" w:eastAsia="zh-CN"/>
        </w:rPr>
        <w:t>6</w:t>
      </w:r>
      <w:r>
        <w:rPr>
          <w:rFonts w:ascii="仿宋" w:hAnsi="仿宋" w:eastAsia="仿宋" w:cs="仿宋"/>
          <w:highlight w:val="none"/>
        </w:rPr>
        <w:t>年</w:t>
      </w:r>
      <w:r>
        <w:rPr>
          <w:rFonts w:hint="eastAsia" w:ascii="仿宋" w:hAnsi="仿宋" w:eastAsia="仿宋" w:cs="仿宋"/>
          <w:highlight w:val="none"/>
          <w:lang w:val="en-US" w:eastAsia="zh-CN"/>
        </w:rPr>
        <w:t>10</w:t>
      </w:r>
      <w:r>
        <w:rPr>
          <w:rFonts w:ascii="仿宋" w:hAnsi="仿宋" w:eastAsia="仿宋" w:cs="仿宋"/>
          <w:highlight w:val="none"/>
        </w:rPr>
        <w:t>月</w:t>
      </w:r>
      <w:r>
        <w:rPr>
          <w:rFonts w:hint="eastAsia" w:ascii="仿宋" w:hAnsi="仿宋" w:eastAsia="仿宋" w:cs="仿宋"/>
          <w:highlight w:val="none"/>
          <w:lang w:val="en-US" w:eastAsia="zh-CN"/>
        </w:rPr>
        <w:t>22</w:t>
      </w:r>
      <w:r>
        <w:rPr>
          <w:rFonts w:ascii="仿宋" w:hAnsi="仿宋" w:eastAsia="仿宋" w:cs="仿宋"/>
          <w:highlight w:val="none"/>
        </w:rPr>
        <w:t>日</w:t>
      </w:r>
      <w:r>
        <w:rPr>
          <w:rFonts w:hint="eastAsia" w:ascii="仿宋" w:hAnsi="仿宋" w:eastAsia="仿宋" w:cs="仿宋"/>
          <w:highlight w:val="none"/>
          <w:lang w:val="en-US" w:eastAsia="zh-CN"/>
        </w:rPr>
        <w:t>下</w:t>
      </w:r>
      <w:r>
        <w:rPr>
          <w:rFonts w:ascii="仿宋" w:hAnsi="仿宋" w:eastAsia="仿宋" w:cs="仿宋"/>
          <w:highlight w:val="none"/>
        </w:rPr>
        <w:t>午</w:t>
      </w:r>
      <w:r>
        <w:rPr>
          <w:rFonts w:hint="eastAsia" w:ascii="仿宋" w:hAnsi="仿宋" w:eastAsia="仿宋" w:cs="仿宋"/>
          <w:highlight w:val="none"/>
          <w:lang w:val="en-US" w:eastAsia="zh-CN"/>
        </w:rPr>
        <w:t>14:00</w:t>
      </w:r>
      <w:r>
        <w:rPr>
          <w:rFonts w:ascii="仿宋" w:hAnsi="仿宋" w:eastAsia="仿宋" w:cs="仿宋"/>
          <w:highlight w:val="none"/>
        </w:rPr>
        <w:t>（投标人迟到视为自动弃标）；</w:t>
      </w:r>
    </w:p>
    <w:p w14:paraId="43DD97C1">
      <w:pPr>
        <w:pStyle w:val="22"/>
        <w:ind w:firstLine="420" w:firstLineChars="0"/>
        <w:rPr>
          <w:rFonts w:ascii="仿宋" w:hAnsi="仿宋" w:eastAsia="仿宋" w:cs="仿宋"/>
          <w:highlight w:val="none"/>
        </w:rPr>
      </w:pPr>
      <w:r>
        <w:rPr>
          <w:rFonts w:ascii="仿宋" w:hAnsi="仿宋" w:eastAsia="仿宋" w:cs="仿宋"/>
          <w:highlight w:val="none"/>
        </w:rPr>
        <w:t>（二）开标时间：202</w:t>
      </w:r>
      <w:r>
        <w:rPr>
          <w:rFonts w:hint="eastAsia" w:ascii="仿宋" w:hAnsi="仿宋" w:eastAsia="仿宋" w:cs="仿宋"/>
          <w:highlight w:val="none"/>
          <w:lang w:val="en-US" w:eastAsia="zh-CN"/>
        </w:rPr>
        <w:t>6</w:t>
      </w:r>
      <w:r>
        <w:rPr>
          <w:rFonts w:ascii="仿宋" w:hAnsi="仿宋" w:eastAsia="仿宋" w:cs="仿宋"/>
          <w:highlight w:val="none"/>
        </w:rPr>
        <w:t>年</w:t>
      </w:r>
      <w:r>
        <w:rPr>
          <w:rFonts w:hint="eastAsia" w:ascii="仿宋" w:hAnsi="仿宋" w:eastAsia="仿宋" w:cs="仿宋"/>
          <w:highlight w:val="none"/>
          <w:lang w:val="en-US" w:eastAsia="zh-CN"/>
        </w:rPr>
        <w:t>10月22日下</w:t>
      </w:r>
      <w:r>
        <w:rPr>
          <w:rFonts w:ascii="仿宋" w:hAnsi="仿宋" w:eastAsia="仿宋" w:cs="仿宋"/>
          <w:highlight w:val="none"/>
        </w:rPr>
        <w:t>午</w:t>
      </w:r>
      <w:r>
        <w:rPr>
          <w:rFonts w:hint="eastAsia" w:ascii="仿宋" w:hAnsi="仿宋" w:eastAsia="仿宋" w:cs="仿宋"/>
          <w:highlight w:val="none"/>
          <w:lang w:val="en-US" w:eastAsia="zh-CN"/>
        </w:rPr>
        <w:t>14:00</w:t>
      </w:r>
      <w:r>
        <w:rPr>
          <w:rFonts w:ascii="仿宋" w:hAnsi="仿宋" w:eastAsia="仿宋" w:cs="仿宋"/>
          <w:highlight w:val="none"/>
        </w:rPr>
        <w:t>；</w:t>
      </w:r>
    </w:p>
    <w:p w14:paraId="30DC218A">
      <w:pPr>
        <w:pStyle w:val="22"/>
        <w:ind w:firstLine="420" w:firstLineChars="0"/>
        <w:rPr>
          <w:rFonts w:ascii="仿宋" w:hAnsi="仿宋" w:eastAsia="仿宋" w:cs="仿宋"/>
          <w:highlight w:val="none"/>
        </w:rPr>
      </w:pPr>
      <w:r>
        <w:rPr>
          <w:rFonts w:ascii="仿宋" w:hAnsi="仿宋" w:eastAsia="仿宋" w:cs="仿宋"/>
          <w:highlight w:val="none"/>
        </w:rPr>
        <w:t>（三）投标文件投递或邮寄地址：湖州市吴兴区创业大道3333号22D后勤楼</w:t>
      </w:r>
      <w:r>
        <w:rPr>
          <w:rFonts w:hint="eastAsia" w:ascii="仿宋" w:hAnsi="仿宋" w:eastAsia="仿宋" w:cs="仿宋"/>
          <w:highlight w:val="none"/>
          <w:lang w:val="en-US" w:eastAsia="zh-CN"/>
        </w:rPr>
        <w:t>2</w:t>
      </w:r>
      <w:r>
        <w:rPr>
          <w:rFonts w:ascii="仿宋" w:hAnsi="仿宋" w:eastAsia="仿宋" w:cs="仿宋"/>
          <w:highlight w:val="none"/>
        </w:rPr>
        <w:t>09（接收人：王老师，联系方式：</w:t>
      </w:r>
      <w:r>
        <w:rPr>
          <w:rFonts w:hint="eastAsia" w:ascii="仿宋" w:hAnsi="仿宋" w:eastAsia="仿宋" w:cs="仿宋"/>
          <w:highlight w:val="none"/>
          <w:lang w:val="en-US" w:eastAsia="zh-CN"/>
        </w:rPr>
        <w:t>15868212061</w:t>
      </w:r>
      <w:r>
        <w:rPr>
          <w:rFonts w:ascii="仿宋" w:hAnsi="仿宋" w:eastAsia="仿宋" w:cs="仿宋"/>
          <w:highlight w:val="none"/>
        </w:rPr>
        <w:t>）；</w:t>
      </w:r>
    </w:p>
    <w:p w14:paraId="4987462D">
      <w:pPr>
        <w:pStyle w:val="22"/>
        <w:ind w:firstLine="420" w:firstLineChars="0"/>
        <w:rPr>
          <w:rFonts w:ascii="仿宋" w:hAnsi="仿宋" w:eastAsia="仿宋" w:cs="仿宋"/>
          <w:highlight w:val="none"/>
        </w:rPr>
      </w:pPr>
      <w:r>
        <w:rPr>
          <w:rFonts w:ascii="仿宋" w:hAnsi="仿宋" w:eastAsia="仿宋" w:cs="仿宋"/>
          <w:highlight w:val="none"/>
        </w:rPr>
        <w:t>（四）开标地点：湖州市吴兴区创业大道3333号22D后勤楼3</w:t>
      </w:r>
      <w:r>
        <w:rPr>
          <w:rFonts w:hint="eastAsia" w:ascii="仿宋" w:hAnsi="仿宋" w:eastAsia="仿宋" w:cs="仿宋"/>
          <w:highlight w:val="none"/>
          <w:lang w:val="en-US" w:eastAsia="zh-CN"/>
        </w:rPr>
        <w:t>06</w:t>
      </w:r>
      <w:r>
        <w:rPr>
          <w:rFonts w:ascii="仿宋" w:hAnsi="仿宋" w:eastAsia="仿宋" w:cs="仿宋"/>
          <w:highlight w:val="none"/>
        </w:rPr>
        <w:t>开标室。</w:t>
      </w:r>
    </w:p>
    <w:p w14:paraId="08ABA05E">
      <w:pPr>
        <w:pStyle w:val="22"/>
        <w:ind w:firstLine="420" w:firstLineChars="0"/>
        <w:rPr>
          <w:rFonts w:ascii="仿宋" w:hAnsi="仿宋" w:eastAsia="仿宋" w:cs="仿宋"/>
          <w:b/>
          <w:bCs/>
          <w:highlight w:val="none"/>
        </w:rPr>
      </w:pPr>
      <w:r>
        <w:rPr>
          <w:rFonts w:ascii="仿宋" w:hAnsi="仿宋" w:eastAsia="仿宋" w:cs="仿宋"/>
          <w:b/>
          <w:bCs/>
          <w:highlight w:val="none"/>
        </w:rPr>
        <w:t>注：供应商未现场参与开标，设同默认开标结果。供应商应确保投标文件在邮寄过程密封包装完好，因邮寄过程造成损坏而不符合开标要求的，湖州学院采购事务中心概不负责。</w:t>
      </w:r>
    </w:p>
    <w:p w14:paraId="75C7CC86">
      <w:pPr>
        <w:pStyle w:val="21"/>
        <w:rPr>
          <w:rFonts w:ascii="仿宋" w:hAnsi="仿宋" w:eastAsia="仿宋" w:cs="仿宋"/>
          <w:highlight w:val="none"/>
        </w:rPr>
      </w:pPr>
      <w:r>
        <w:rPr>
          <w:rFonts w:ascii="仿宋" w:hAnsi="仿宋" w:eastAsia="仿宋" w:cs="仿宋"/>
          <w:highlight w:val="none"/>
        </w:rPr>
        <w:t>五、中标办法</w:t>
      </w:r>
    </w:p>
    <w:p w14:paraId="5FF9C500">
      <w:pPr>
        <w:pStyle w:val="22"/>
        <w:ind w:firstLine="420" w:firstLineChars="0"/>
        <w:rPr>
          <w:rFonts w:ascii="仿宋" w:hAnsi="仿宋" w:eastAsia="仿宋" w:cs="仿宋"/>
          <w:highlight w:val="none"/>
        </w:rPr>
      </w:pPr>
      <w:r>
        <w:rPr>
          <w:rFonts w:ascii="仿宋" w:hAnsi="仿宋" w:eastAsia="仿宋" w:cs="仿宋"/>
          <w:highlight w:val="none"/>
        </w:rPr>
        <w:t>本项目</w:t>
      </w:r>
      <w:r>
        <w:rPr>
          <w:rFonts w:hint="eastAsia" w:ascii="仿宋" w:hAnsi="仿宋" w:eastAsia="仿宋" w:cs="仿宋"/>
          <w:highlight w:val="none"/>
          <w:lang w:val="en-US" w:eastAsia="zh-CN"/>
        </w:rPr>
        <w:t>采用</w:t>
      </w:r>
      <w:r>
        <w:rPr>
          <w:rFonts w:ascii="仿宋" w:hAnsi="仿宋" w:eastAsia="仿宋" w:cs="仿宋"/>
          <w:b/>
          <w:bCs/>
          <w:highlight w:val="none"/>
        </w:rPr>
        <w:t>综合评标法</w:t>
      </w:r>
      <w:r>
        <w:rPr>
          <w:rFonts w:ascii="仿宋" w:hAnsi="仿宋" w:eastAsia="仿宋" w:cs="仿宋"/>
          <w:highlight w:val="none"/>
        </w:rPr>
        <w:t>，得分最高供应商为中标人；</w:t>
      </w:r>
    </w:p>
    <w:p w14:paraId="246E15D7">
      <w:pPr>
        <w:pStyle w:val="22"/>
        <w:ind w:firstLine="420" w:firstLineChars="0"/>
        <w:rPr>
          <w:rFonts w:ascii="仿宋" w:hAnsi="仿宋" w:eastAsia="仿宋" w:cs="仿宋"/>
          <w:b/>
          <w:bCs/>
          <w:color w:val="FF0000"/>
          <w:highlight w:val="none"/>
        </w:rPr>
      </w:pPr>
      <w:r>
        <w:rPr>
          <w:rFonts w:ascii="仿宋" w:hAnsi="仿宋" w:eastAsia="仿宋" w:cs="仿宋"/>
          <w:b/>
          <w:bCs/>
          <w:highlight w:val="none"/>
        </w:rPr>
        <w:t>注：如出现中标人拒签合同，招标人将根据实际情况，采</w:t>
      </w:r>
      <w:r>
        <w:rPr>
          <w:rFonts w:ascii="仿宋" w:hAnsi="仿宋" w:eastAsia="仿宋" w:cs="仿宋"/>
          <w:b/>
          <w:bCs/>
          <w:color w:val="auto"/>
          <w:highlight w:val="none"/>
        </w:rPr>
        <w:t>用“按序递补”或“重新招标”的方式重新确定中标人。</w:t>
      </w:r>
    </w:p>
    <w:p w14:paraId="22FBD465">
      <w:pPr>
        <w:pStyle w:val="21"/>
        <w:rPr>
          <w:rFonts w:ascii="仿宋" w:hAnsi="仿宋" w:eastAsia="仿宋" w:cs="仿宋"/>
          <w:highlight w:val="none"/>
        </w:rPr>
      </w:pPr>
      <w:r>
        <w:rPr>
          <w:rFonts w:ascii="仿宋" w:hAnsi="仿宋" w:eastAsia="仿宋" w:cs="仿宋"/>
          <w:highlight w:val="none"/>
        </w:rPr>
        <w:t>六、付款方式：</w:t>
      </w:r>
    </w:p>
    <w:p w14:paraId="6405F02F">
      <w:pPr>
        <w:pStyle w:val="22"/>
        <w:ind w:firstLine="420" w:firstLineChars="0"/>
        <w:rPr>
          <w:rFonts w:ascii="仿宋" w:hAnsi="仿宋" w:eastAsia="仿宋" w:cs="仿宋"/>
          <w:highlight w:val="none"/>
        </w:rPr>
      </w:pPr>
      <w:r>
        <w:rPr>
          <w:rFonts w:ascii="仿宋" w:hAnsi="仿宋" w:eastAsia="仿宋" w:cs="仿宋"/>
          <w:highlight w:val="none"/>
        </w:rPr>
        <w:t>1.</w:t>
      </w:r>
      <w:r>
        <w:rPr>
          <w:rFonts w:hint="eastAsia" w:ascii="仿宋" w:hAnsi="仿宋" w:eastAsia="仿宋" w:cs="仿宋"/>
          <w:highlight w:val="none"/>
          <w:lang w:val="en-US" w:eastAsia="zh-CN"/>
        </w:rPr>
        <w:t>中标人完成全部检测及评估工作，出具符合国家、行业、浙江省现行技术标准，客观、真实、完整的评估报告，并提供正规的采购人认可的发票后，采购人20个工作日内一次性付清合同款。</w:t>
      </w:r>
    </w:p>
    <w:p w14:paraId="35B3F392">
      <w:pPr>
        <w:pStyle w:val="22"/>
        <w:ind w:firstLine="420" w:firstLineChars="0"/>
        <w:rPr>
          <w:rFonts w:hint="eastAsia" w:ascii="仿宋" w:hAnsi="仿宋" w:eastAsia="仿宋" w:cs="仿宋"/>
          <w:highlight w:val="none"/>
        </w:rPr>
      </w:pPr>
      <w:r>
        <w:rPr>
          <w:rFonts w:hint="eastAsia" w:ascii="仿宋" w:hAnsi="仿宋" w:eastAsia="仿宋" w:cs="仿宋"/>
          <w:highlight w:val="none"/>
        </w:rPr>
        <w:t>2.本合同执行中相关的一切税费均由中标人承担。</w:t>
      </w:r>
    </w:p>
    <w:p w14:paraId="0E078674">
      <w:pPr>
        <w:pStyle w:val="22"/>
        <w:ind w:firstLine="420" w:firstLineChars="0"/>
        <w:rPr>
          <w:rFonts w:hint="eastAsia" w:ascii="仿宋" w:hAnsi="仿宋" w:eastAsia="仿宋" w:cs="仿宋"/>
          <w:color w:val="auto"/>
          <w:highlight w:val="none"/>
        </w:rPr>
      </w:pPr>
      <w:r>
        <w:rPr>
          <w:rFonts w:hint="eastAsia" w:ascii="仿宋" w:hAnsi="仿宋" w:eastAsia="仿宋" w:cs="仿宋"/>
          <w:color w:val="auto"/>
          <w:highlight w:val="none"/>
        </w:rPr>
        <w:t>3.本项目不收取投标保证金及履约保证金。</w:t>
      </w:r>
    </w:p>
    <w:p w14:paraId="71A17657">
      <w:pPr>
        <w:pStyle w:val="22"/>
        <w:ind w:firstLine="420" w:firstLineChars="0"/>
        <w:rPr>
          <w:rFonts w:hint="eastAsia" w:ascii="仿宋" w:hAnsi="仿宋" w:eastAsia="仿宋" w:cs="仿宋"/>
          <w:color w:val="auto"/>
          <w:highlight w:val="none"/>
        </w:rPr>
      </w:pPr>
      <w:r>
        <w:rPr>
          <w:rFonts w:hint="eastAsia" w:ascii="仿宋" w:hAnsi="仿宋" w:eastAsia="仿宋" w:cs="仿宋"/>
          <w:color w:val="auto"/>
          <w:highlight w:val="none"/>
        </w:rPr>
        <w:t>4.款项申请给付前，供应商应向采购人开具并交付足额、合规的增值税（专用/普通）发票，采购人自收到发票后在约定期限内，向供应商支付对应款项。</w:t>
      </w:r>
    </w:p>
    <w:p w14:paraId="6E95D5D0">
      <w:pPr>
        <w:pStyle w:val="22"/>
        <w:ind w:firstLine="420" w:firstLineChars="0"/>
        <w:rPr>
          <w:rFonts w:ascii="仿宋" w:hAnsi="仿宋" w:eastAsia="仿宋" w:cs="仿宋"/>
          <w:color w:val="auto"/>
          <w:highlight w:val="none"/>
        </w:rPr>
      </w:pPr>
      <w:r>
        <w:rPr>
          <w:rFonts w:hint="eastAsia" w:ascii="仿宋" w:hAnsi="仿宋" w:eastAsia="仿宋" w:cs="仿宋"/>
          <w:color w:val="auto"/>
          <w:highlight w:val="none"/>
        </w:rPr>
        <w:t>5.结算金额不得超过中标总价。</w:t>
      </w:r>
    </w:p>
    <w:p w14:paraId="2A3440EF">
      <w:pPr>
        <w:pStyle w:val="21"/>
        <w:rPr>
          <w:rFonts w:ascii="仿宋" w:hAnsi="仿宋" w:eastAsia="仿宋" w:cs="仿宋"/>
          <w:highlight w:val="none"/>
        </w:rPr>
      </w:pPr>
      <w:r>
        <w:rPr>
          <w:rFonts w:ascii="仿宋" w:hAnsi="仿宋" w:eastAsia="仿宋" w:cs="仿宋"/>
          <w:highlight w:val="none"/>
        </w:rPr>
        <w:t>七、联系方式</w:t>
      </w:r>
    </w:p>
    <w:p w14:paraId="6827F5BA">
      <w:pPr>
        <w:pStyle w:val="22"/>
        <w:ind w:firstLine="420" w:firstLineChars="0"/>
        <w:rPr>
          <w:rFonts w:ascii="仿宋" w:hAnsi="仿宋" w:eastAsia="仿宋" w:cs="仿宋"/>
        </w:rPr>
      </w:pPr>
      <w:r>
        <w:rPr>
          <w:rFonts w:ascii="仿宋" w:hAnsi="仿宋" w:eastAsia="仿宋" w:cs="仿宋"/>
        </w:rPr>
        <w:t>采购人：湖州学院</w:t>
      </w:r>
    </w:p>
    <w:p w14:paraId="027FC7FC">
      <w:pPr>
        <w:pStyle w:val="22"/>
        <w:ind w:firstLine="420" w:firstLineChars="0"/>
        <w:rPr>
          <w:rFonts w:ascii="仿宋" w:hAnsi="仿宋" w:eastAsia="仿宋" w:cs="仿宋"/>
          <w:highlight w:val="none"/>
        </w:rPr>
      </w:pPr>
      <w:r>
        <w:rPr>
          <w:rFonts w:ascii="仿宋" w:hAnsi="仿宋" w:eastAsia="仿宋" w:cs="仿宋"/>
          <w:lang w:eastAsia="zh-Hans"/>
        </w:rPr>
        <w:t>项目</w:t>
      </w:r>
      <w:r>
        <w:rPr>
          <w:rFonts w:ascii="仿宋" w:hAnsi="仿宋" w:eastAsia="仿宋" w:cs="仿宋"/>
        </w:rPr>
        <w:t>联系人：</w:t>
      </w:r>
      <w:r>
        <w:rPr>
          <w:rFonts w:hint="eastAsia" w:ascii="仿宋" w:hAnsi="仿宋" w:eastAsia="仿宋" w:cs="仿宋"/>
          <w:lang w:val="en-US" w:eastAsia="zh-CN"/>
        </w:rPr>
        <w:t>张</w:t>
      </w:r>
      <w:r>
        <w:rPr>
          <w:rFonts w:ascii="仿宋" w:hAnsi="仿宋" w:eastAsia="仿宋" w:cs="仿宋"/>
        </w:rPr>
        <w:t xml:space="preserve">老师                         </w:t>
      </w:r>
      <w:r>
        <w:rPr>
          <w:rFonts w:ascii="仿宋" w:hAnsi="仿宋" w:eastAsia="仿宋" w:cs="仿宋"/>
          <w:highlight w:val="none"/>
        </w:rPr>
        <w:t>联系电话：</w:t>
      </w:r>
      <w:r>
        <w:rPr>
          <w:rFonts w:hint="eastAsia" w:ascii="仿宋" w:hAnsi="仿宋" w:eastAsia="仿宋" w:cs="仿宋"/>
          <w:highlight w:val="none"/>
        </w:rPr>
        <w:t>18905726716</w:t>
      </w:r>
    </w:p>
    <w:p w14:paraId="67236A03">
      <w:pPr>
        <w:pStyle w:val="22"/>
        <w:ind w:firstLine="420" w:firstLineChars="0"/>
        <w:rPr>
          <w:rFonts w:hint="default" w:ascii="仿宋" w:hAnsi="仿宋" w:eastAsia="仿宋" w:cs="仿宋"/>
          <w:highlight w:val="none"/>
          <w:lang w:val="en-US" w:eastAsia="zh-CN"/>
        </w:rPr>
      </w:pPr>
      <w:r>
        <w:rPr>
          <w:rFonts w:ascii="仿宋" w:hAnsi="仿宋" w:eastAsia="仿宋" w:cs="仿宋"/>
          <w:highlight w:val="none"/>
        </w:rPr>
        <w:t>质疑联系人：王老师                         联系电话：</w:t>
      </w:r>
      <w:r>
        <w:rPr>
          <w:rFonts w:hint="eastAsia" w:ascii="仿宋" w:hAnsi="仿宋" w:eastAsia="仿宋" w:cs="仿宋"/>
          <w:highlight w:val="none"/>
          <w:lang w:val="en-US" w:eastAsia="zh-CN"/>
        </w:rPr>
        <w:t>0572-2112239</w:t>
      </w:r>
    </w:p>
    <w:p w14:paraId="1935C02D">
      <w:pPr>
        <w:pStyle w:val="21"/>
        <w:rPr>
          <w:rFonts w:ascii="仿宋" w:hAnsi="仿宋" w:eastAsia="仿宋" w:cs="仿宋"/>
        </w:rPr>
      </w:pPr>
      <w:r>
        <w:rPr>
          <w:rFonts w:ascii="仿宋" w:hAnsi="仿宋" w:eastAsia="仿宋" w:cs="仿宋"/>
        </w:rPr>
        <w:t>八：附件：</w:t>
      </w:r>
    </w:p>
    <w:p w14:paraId="683E0BE8">
      <w:pPr>
        <w:pStyle w:val="22"/>
        <w:ind w:firstLine="420" w:firstLineChars="0"/>
        <w:jc w:val="left"/>
        <w:rPr>
          <w:rFonts w:ascii="仿宋" w:hAnsi="仿宋" w:eastAsia="仿宋" w:cs="仿宋"/>
        </w:rPr>
      </w:pPr>
      <w:r>
        <w:rPr>
          <w:rFonts w:ascii="仿宋" w:hAnsi="仿宋" w:eastAsia="仿宋" w:cs="仿宋"/>
        </w:rPr>
        <w:t>附件</w:t>
      </w:r>
      <w:r>
        <w:rPr>
          <w:rFonts w:hint="eastAsia" w:ascii="仿宋" w:hAnsi="仿宋" w:eastAsia="仿宋" w:cs="仿宋"/>
          <w:lang w:val="en-US" w:eastAsia="zh-CN"/>
        </w:rPr>
        <w:t>1</w:t>
      </w:r>
      <w:r>
        <w:rPr>
          <w:rFonts w:ascii="仿宋" w:hAnsi="仿宋" w:eastAsia="仿宋" w:cs="仿宋"/>
        </w:rPr>
        <w:t>：资格文件参考格式</w:t>
      </w:r>
    </w:p>
    <w:p w14:paraId="5724A20F">
      <w:pPr>
        <w:pStyle w:val="22"/>
        <w:ind w:firstLine="420" w:firstLineChars="0"/>
        <w:jc w:val="left"/>
        <w:rPr>
          <w:rFonts w:ascii="仿宋" w:hAnsi="仿宋" w:eastAsia="仿宋" w:cs="仿宋"/>
        </w:rPr>
      </w:pPr>
      <w:r>
        <w:rPr>
          <w:rFonts w:ascii="仿宋" w:hAnsi="仿宋" w:eastAsia="仿宋" w:cs="仿宋"/>
        </w:rPr>
        <w:t>附件</w:t>
      </w:r>
      <w:r>
        <w:rPr>
          <w:rFonts w:hint="eastAsia" w:ascii="仿宋" w:hAnsi="仿宋" w:eastAsia="仿宋" w:cs="仿宋"/>
          <w:lang w:val="en-US" w:eastAsia="zh-CN"/>
        </w:rPr>
        <w:t>2</w:t>
      </w:r>
      <w:r>
        <w:rPr>
          <w:rFonts w:ascii="仿宋" w:hAnsi="仿宋" w:eastAsia="仿宋" w:cs="仿宋"/>
        </w:rPr>
        <w:t>：技术商务文件参考格式</w:t>
      </w:r>
    </w:p>
    <w:p w14:paraId="6B0C7D61">
      <w:pPr>
        <w:pStyle w:val="22"/>
        <w:ind w:firstLine="420" w:firstLineChars="0"/>
        <w:jc w:val="left"/>
        <w:rPr>
          <w:rFonts w:ascii="仿宋" w:hAnsi="仿宋" w:eastAsia="仿宋" w:cs="仿宋"/>
        </w:rPr>
      </w:pPr>
      <w:r>
        <w:rPr>
          <w:rFonts w:ascii="仿宋" w:hAnsi="仿宋" w:eastAsia="仿宋" w:cs="仿宋"/>
        </w:rPr>
        <w:t>附件</w:t>
      </w:r>
      <w:r>
        <w:rPr>
          <w:rFonts w:hint="eastAsia" w:ascii="仿宋" w:hAnsi="仿宋" w:eastAsia="仿宋" w:cs="仿宋"/>
          <w:lang w:val="en-US" w:eastAsia="zh-CN"/>
        </w:rPr>
        <w:t>3</w:t>
      </w:r>
      <w:r>
        <w:rPr>
          <w:rFonts w:ascii="仿宋" w:hAnsi="仿宋" w:eastAsia="仿宋" w:cs="仿宋"/>
        </w:rPr>
        <w:t>：报价文件参考格式</w:t>
      </w:r>
    </w:p>
    <w:p w14:paraId="4CA858DF">
      <w:pPr>
        <w:pStyle w:val="22"/>
        <w:ind w:firstLine="420" w:firstLineChars="0"/>
        <w:jc w:val="right"/>
        <w:rPr>
          <w:rFonts w:ascii="仿宋" w:hAnsi="仿宋" w:eastAsia="仿宋" w:cs="仿宋"/>
        </w:rPr>
      </w:pPr>
      <w:r>
        <w:rPr>
          <w:rFonts w:ascii="仿宋" w:hAnsi="仿宋" w:eastAsia="仿宋" w:cs="仿宋"/>
        </w:rPr>
        <w:t>湖州学院采购事务中心</w:t>
      </w:r>
    </w:p>
    <w:p w14:paraId="047BC46D">
      <w:pPr>
        <w:pStyle w:val="22"/>
        <w:ind w:firstLine="420" w:firstLineChars="0"/>
        <w:jc w:val="right"/>
        <w:rPr>
          <w:rFonts w:ascii="仿宋" w:hAnsi="仿宋" w:eastAsia="仿宋" w:cs="仿宋"/>
          <w:highlight w:val="none"/>
        </w:rPr>
        <w:sectPr>
          <w:footerReference r:id="rId5" w:type="default"/>
          <w:pgSz w:w="11906" w:h="16838"/>
          <w:pgMar w:top="1134" w:right="1531" w:bottom="992" w:left="1531" w:header="851" w:footer="992" w:gutter="0"/>
          <w:pgNumType w:start="1"/>
          <w:cols w:space="0" w:num="1"/>
          <w:docGrid w:type="lines" w:linePitch="312" w:charSpace="0"/>
        </w:sectPr>
      </w:pPr>
      <w:r>
        <w:rPr>
          <w:rFonts w:ascii="仿宋" w:hAnsi="仿宋" w:eastAsia="仿宋" w:cs="仿宋"/>
          <w:highlight w:val="none"/>
        </w:rPr>
        <w:t>202</w:t>
      </w:r>
      <w:r>
        <w:rPr>
          <w:rFonts w:hint="eastAsia" w:ascii="仿宋" w:hAnsi="仿宋" w:eastAsia="仿宋" w:cs="仿宋"/>
          <w:highlight w:val="none"/>
          <w:lang w:val="en-US" w:eastAsia="zh-CN"/>
        </w:rPr>
        <w:t>6</w:t>
      </w:r>
      <w:r>
        <w:rPr>
          <w:rFonts w:ascii="仿宋" w:hAnsi="仿宋" w:eastAsia="仿宋" w:cs="仿宋"/>
          <w:highlight w:val="none"/>
        </w:rPr>
        <w:t>年</w:t>
      </w:r>
      <w:r>
        <w:rPr>
          <w:rFonts w:hint="eastAsia" w:ascii="仿宋" w:hAnsi="仿宋" w:eastAsia="仿宋" w:cs="仿宋"/>
          <w:highlight w:val="none"/>
          <w:lang w:val="en-US" w:eastAsia="zh-CN"/>
        </w:rPr>
        <w:t>10</w:t>
      </w:r>
      <w:r>
        <w:rPr>
          <w:rFonts w:ascii="仿宋" w:hAnsi="仿宋" w:eastAsia="仿宋" w:cs="仿宋"/>
          <w:highlight w:val="none"/>
        </w:rPr>
        <w:t>月</w:t>
      </w:r>
      <w:r>
        <w:rPr>
          <w:rFonts w:hint="eastAsia" w:ascii="仿宋" w:hAnsi="仿宋" w:eastAsia="仿宋" w:cs="仿宋"/>
          <w:highlight w:val="none"/>
          <w:lang w:val="en-US" w:eastAsia="zh-CN"/>
        </w:rPr>
        <w:t>13</w:t>
      </w:r>
      <w:r>
        <w:rPr>
          <w:rFonts w:ascii="仿宋" w:hAnsi="仿宋" w:eastAsia="仿宋" w:cs="仿宋"/>
          <w:highlight w:val="none"/>
        </w:rPr>
        <w:t>日</w:t>
      </w:r>
    </w:p>
    <w:p w14:paraId="624703B2">
      <w:pPr>
        <w:pStyle w:val="2"/>
        <w:bidi w:val="0"/>
        <w:jc w:val="center"/>
        <w:rPr>
          <w:rFonts w:hint="eastAsia"/>
          <w:sz w:val="36"/>
          <w:szCs w:val="28"/>
        </w:rPr>
        <w:sectPr>
          <w:type w:val="continuous"/>
          <w:pgSz w:w="11906" w:h="16838"/>
          <w:pgMar w:top="1440" w:right="1633" w:bottom="1440" w:left="1633" w:header="851" w:footer="992" w:gutter="0"/>
          <w:lnNumType w:countBy="0" w:distance="360"/>
          <w:pgNumType w:start="5"/>
          <w:cols w:space="720" w:num="1"/>
          <w:docGrid w:type="lines" w:linePitch="312" w:charSpace="0"/>
        </w:sectPr>
      </w:pPr>
    </w:p>
    <w:p w14:paraId="368CF871">
      <w:pPr>
        <w:pStyle w:val="2"/>
        <w:bidi w:val="0"/>
        <w:jc w:val="center"/>
        <w:rPr>
          <w:rFonts w:hint="eastAsia"/>
          <w:sz w:val="36"/>
          <w:szCs w:val="28"/>
        </w:rPr>
      </w:pPr>
      <w:r>
        <w:rPr>
          <w:rFonts w:hint="eastAsia"/>
          <w:sz w:val="36"/>
          <w:szCs w:val="28"/>
        </w:rPr>
        <w:t>第</w:t>
      </w:r>
      <w:r>
        <w:rPr>
          <w:rFonts w:hint="eastAsia"/>
          <w:sz w:val="36"/>
          <w:szCs w:val="28"/>
          <w:lang w:val="en-US" w:eastAsia="zh-CN"/>
        </w:rPr>
        <w:t>二</w:t>
      </w:r>
      <w:r>
        <w:rPr>
          <w:rFonts w:hint="eastAsia"/>
          <w:sz w:val="36"/>
          <w:szCs w:val="28"/>
        </w:rPr>
        <w:t>章 采购需求</w:t>
      </w:r>
    </w:p>
    <w:p w14:paraId="23DE136D">
      <w:pPr>
        <w:pStyle w:val="10"/>
        <w:keepNext w:val="0"/>
        <w:keepLines w:val="0"/>
        <w:pageBreakBefore w:val="0"/>
        <w:widowControl w:val="0"/>
        <w:suppressLineNumbers w:val="0"/>
        <w:kinsoku/>
        <w:wordWrap/>
        <w:overflowPunct/>
        <w:topLinePunct w:val="0"/>
        <w:autoSpaceDE w:val="0"/>
        <w:autoSpaceDN/>
        <w:bidi w:val="0"/>
        <w:adjustRightInd/>
        <w:snapToGrid/>
        <w:spacing w:beforeAutospacing="0" w:line="360" w:lineRule="auto"/>
        <w:ind w:left="0" w:firstLine="0"/>
        <w:textAlignment w:val="auto"/>
        <w:outlineLvl w:val="1"/>
        <w:rPr>
          <w:rFonts w:hint="eastAsia" w:ascii="黑体" w:hAnsi="宋体" w:eastAsia="黑体" w:cs="黑体"/>
          <w:b w:val="0"/>
          <w:bCs w:val="0"/>
          <w:color w:val="000000"/>
          <w:kern w:val="0"/>
          <w:sz w:val="28"/>
          <w:szCs w:val="28"/>
        </w:rPr>
      </w:pPr>
      <w:r>
        <w:rPr>
          <w:rFonts w:hint="eastAsia" w:ascii="黑体" w:hAnsi="宋体" w:eastAsia="黑体" w:cs="黑体"/>
          <w:b w:val="0"/>
          <w:bCs w:val="0"/>
          <w:color w:val="000000"/>
          <w:kern w:val="0"/>
          <w:sz w:val="28"/>
          <w:szCs w:val="28"/>
        </w:rPr>
        <w:t>一、服务需求</w:t>
      </w:r>
    </w:p>
    <w:p w14:paraId="144F00CA">
      <w:pPr>
        <w:pStyle w:val="14"/>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仿宋" w:hAnsi="仿宋" w:eastAsia="仿宋" w:cs="仿宋"/>
          <w:b w:val="0"/>
          <w:bCs w:val="0"/>
          <w:color w:val="auto"/>
          <w:kern w:val="0"/>
          <w:sz w:val="24"/>
          <w:szCs w:val="24"/>
          <w:highlight w:val="none"/>
          <w:lang w:val="en-US" w:eastAsia="zh-CN" w:bidi="ar"/>
        </w:rPr>
      </w:pPr>
      <w:r>
        <w:rPr>
          <w:rFonts w:hint="eastAsia" w:ascii="仿宋" w:hAnsi="仿宋" w:eastAsia="仿宋" w:cs="仿宋"/>
          <w:b w:val="0"/>
          <w:bCs w:val="0"/>
          <w:color w:val="000000"/>
          <w:kern w:val="0"/>
          <w:sz w:val="24"/>
          <w:szCs w:val="24"/>
          <w:lang w:val="en-US" w:eastAsia="zh-CN" w:bidi="ar"/>
        </w:rPr>
        <w:t>本项目为湖州学院消防设施年度检测及消防安全评估需求（项目面积约36万平方米），拟委托第三方专业检测单位对湖州学院区域内消防设施进行年度检测及消防安全评估，发现隐患，评估湖州学院消防安全状况，提出合理可行的整改意见和建议，指导协助采购人整改，并于2026年11月22日前最终出具经消防部门认可的检测、评</w:t>
      </w:r>
      <w:r>
        <w:rPr>
          <w:rFonts w:hint="eastAsia" w:ascii="仿宋" w:hAnsi="仿宋" w:eastAsia="仿宋" w:cs="仿宋"/>
          <w:b w:val="0"/>
          <w:bCs w:val="0"/>
          <w:color w:val="auto"/>
          <w:kern w:val="0"/>
          <w:sz w:val="24"/>
          <w:szCs w:val="24"/>
          <w:highlight w:val="none"/>
          <w:lang w:val="en-US" w:eastAsia="zh-CN" w:bidi="ar"/>
        </w:rPr>
        <w:t>估报告，并完成验收工作。</w:t>
      </w:r>
    </w:p>
    <w:p w14:paraId="5ED35494">
      <w:pPr>
        <w:pStyle w:val="14"/>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湖州学院占地面积913.4亩，建筑面积约36.73万平方米。其中：校区共有29幢楼、东区地下车库、西区地下车库、10号楼地下车库。设有消火栓系统，疏散指示、应急照明系统，灭火器等各类设施设备。校区有三个消控室，15套消防系统，27台消防报警主机，1个消防泵房，1个消防水池，1个消防水箱。</w:t>
      </w:r>
    </w:p>
    <w:p w14:paraId="24782057">
      <w:pPr>
        <w:pStyle w:val="10"/>
        <w:autoSpaceDE/>
        <w:spacing w:before="157" w:beforeLines="50" w:after="157" w:afterLines="50"/>
        <w:ind w:firstLine="0" w:firstLineChars="0"/>
        <w:outlineLvl w:val="2"/>
        <w:rPr>
          <w:rFonts w:hint="default" w:ascii="楷体_GB2312" w:hAnsi="Courier New" w:eastAsia="楷体_GB2312" w:cs="楷体_GB2312"/>
          <w:b/>
          <w:bCs/>
          <w:color w:val="000000"/>
          <w:kern w:val="0"/>
          <w:sz w:val="24"/>
          <w:szCs w:val="24"/>
          <w:lang w:val="en-US" w:eastAsia="zh-CN" w:bidi="ar"/>
        </w:rPr>
      </w:pPr>
      <w:r>
        <w:rPr>
          <w:rFonts w:hint="default" w:ascii="楷体_GB2312" w:hAnsi="Courier New" w:eastAsia="楷体_GB2312" w:cs="楷体_GB2312"/>
          <w:b/>
          <w:bCs/>
          <w:color w:val="000000"/>
          <w:kern w:val="0"/>
          <w:sz w:val="24"/>
          <w:szCs w:val="24"/>
          <w:lang w:val="en-US" w:eastAsia="zh-CN" w:bidi="ar"/>
        </w:rPr>
        <w:t>（一）</w:t>
      </w:r>
      <w:r>
        <w:rPr>
          <w:rFonts w:hint="default" w:ascii="仿宋" w:hAnsi="仿宋" w:eastAsia="仿宋" w:cs="仿宋"/>
          <w:b w:val="0"/>
          <w:bCs w:val="0"/>
          <w:color w:val="000000"/>
          <w:kern w:val="0"/>
          <w:sz w:val="24"/>
          <w:szCs w:val="24"/>
          <w:lang w:val="en-US" w:eastAsia="zh-CN" w:bidi="ar"/>
        </w:rPr>
        <w:t>▲</w:t>
      </w:r>
      <w:r>
        <w:rPr>
          <w:rFonts w:hint="default" w:ascii="楷体_GB2312" w:hAnsi="Courier New" w:eastAsia="楷体_GB2312" w:cs="楷体_GB2312"/>
          <w:b/>
          <w:bCs/>
          <w:color w:val="000000"/>
          <w:kern w:val="0"/>
          <w:sz w:val="24"/>
          <w:szCs w:val="24"/>
          <w:lang w:val="en-US" w:eastAsia="zh-CN" w:bidi="ar"/>
        </w:rPr>
        <w:t>商务需求</w:t>
      </w:r>
    </w:p>
    <w:p w14:paraId="16578F50">
      <w:pPr>
        <w:pStyle w:val="14"/>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仿宋" w:hAnsi="仿宋" w:eastAsia="仿宋" w:cs="仿宋"/>
          <w:b w:val="0"/>
          <w:bCs w:val="0"/>
          <w:color w:val="auto"/>
          <w:kern w:val="0"/>
          <w:sz w:val="24"/>
          <w:szCs w:val="24"/>
          <w:highlight w:val="none"/>
          <w:lang w:val="en-US" w:eastAsia="zh-CN" w:bidi="ar"/>
        </w:rPr>
      </w:pPr>
      <w:r>
        <w:rPr>
          <w:rFonts w:hint="eastAsia" w:ascii="仿宋" w:hAnsi="仿宋" w:eastAsia="仿宋" w:cs="仿宋"/>
          <w:b w:val="0"/>
          <w:bCs w:val="0"/>
          <w:color w:val="auto"/>
          <w:kern w:val="0"/>
          <w:sz w:val="24"/>
          <w:szCs w:val="24"/>
          <w:highlight w:val="none"/>
          <w:lang w:val="en-US" w:eastAsia="zh-CN" w:bidi="ar"/>
        </w:rPr>
        <w:t>1.项目交付截止时间：2026年11月22日前。</w:t>
      </w:r>
    </w:p>
    <w:p w14:paraId="5B92397C">
      <w:pPr>
        <w:pStyle w:val="14"/>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2.服务地点：湖州学院</w:t>
      </w:r>
    </w:p>
    <w:p w14:paraId="0E908210">
      <w:pPr>
        <w:pStyle w:val="14"/>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3.付款方式：中标人完成全部检测及评估工作，出具符合国家、行业、浙江省现行技术标准，客观、真实、完整的评估报告，并提供正规的采购人认可的发票后，采购人20个工作日内一次性付清合同款。</w:t>
      </w:r>
    </w:p>
    <w:p w14:paraId="02DEC8F8">
      <w:pPr>
        <w:pStyle w:val="10"/>
        <w:keepNext w:val="0"/>
        <w:keepLines w:val="0"/>
        <w:pageBreakBefore w:val="0"/>
        <w:widowControl w:val="0"/>
        <w:kinsoku/>
        <w:wordWrap/>
        <w:overflowPunct/>
        <w:topLinePunct w:val="0"/>
        <w:autoSpaceDE/>
        <w:autoSpaceDN/>
        <w:bidi w:val="0"/>
        <w:adjustRightInd/>
        <w:snapToGrid/>
        <w:spacing w:before="0" w:after="0" w:line="360" w:lineRule="auto"/>
        <w:ind w:firstLine="420" w:firstLineChars="0"/>
        <w:textAlignment w:val="auto"/>
        <w:outlineLvl w:val="9"/>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（1）款项申请给付前，供应商应向采购人开具并交付足额、合规的增值税（专用/普通）发票，采购人自收到发票后在约定期限内，向中标人支付对应款项。</w:t>
      </w:r>
    </w:p>
    <w:p w14:paraId="7DC7711A">
      <w:pPr>
        <w:pStyle w:val="10"/>
        <w:autoSpaceDE/>
        <w:spacing w:before="157" w:beforeLines="50" w:after="157" w:afterLines="50"/>
        <w:ind w:firstLine="420" w:firstLineChars="0"/>
        <w:outlineLvl w:val="9"/>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（2）本合同执行中相关的一切税费均由中标人承担。</w:t>
      </w:r>
    </w:p>
    <w:p w14:paraId="65033D4C">
      <w:pPr>
        <w:pStyle w:val="10"/>
        <w:autoSpaceDE/>
        <w:spacing w:before="157" w:beforeLines="50" w:after="157" w:afterLines="50"/>
        <w:ind w:firstLine="420" w:firstLineChars="0"/>
        <w:outlineLvl w:val="9"/>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4.本项目不收取投标保证金及履约保证金。</w:t>
      </w:r>
    </w:p>
    <w:p w14:paraId="5A8052BF">
      <w:pPr>
        <w:pStyle w:val="10"/>
        <w:autoSpaceDE/>
        <w:spacing w:before="157" w:beforeLines="50" w:after="157" w:afterLines="50"/>
        <w:ind w:firstLine="0" w:firstLineChars="0"/>
        <w:outlineLvl w:val="2"/>
        <w:rPr>
          <w:rFonts w:hint="default" w:ascii="楷体_GB2312" w:hAnsi="Courier New" w:eastAsia="楷体_GB2312" w:cs="楷体_GB2312"/>
          <w:b/>
          <w:bCs/>
          <w:color w:val="000000"/>
          <w:kern w:val="0"/>
          <w:sz w:val="24"/>
          <w:szCs w:val="24"/>
          <w:lang w:val="en-US" w:eastAsia="zh-CN" w:bidi="ar"/>
        </w:rPr>
      </w:pPr>
      <w:r>
        <w:rPr>
          <w:rFonts w:hint="default" w:ascii="楷体_GB2312" w:hAnsi="Courier New" w:eastAsia="楷体_GB2312" w:cs="楷体_GB2312"/>
          <w:b/>
          <w:bCs/>
          <w:color w:val="000000"/>
          <w:kern w:val="0"/>
          <w:sz w:val="24"/>
          <w:szCs w:val="24"/>
          <w:lang w:val="en-US" w:eastAsia="zh-CN" w:bidi="ar"/>
        </w:rPr>
        <w:t>（二）</w:t>
      </w:r>
      <w:r>
        <w:rPr>
          <w:rFonts w:hint="default" w:ascii="仿宋" w:hAnsi="仿宋" w:eastAsia="仿宋" w:cs="仿宋"/>
          <w:b w:val="0"/>
          <w:bCs w:val="0"/>
          <w:color w:val="000000"/>
          <w:kern w:val="0"/>
          <w:sz w:val="24"/>
          <w:szCs w:val="24"/>
          <w:lang w:val="en-US" w:eastAsia="zh-CN" w:bidi="ar"/>
        </w:rPr>
        <w:t>▲</w:t>
      </w:r>
      <w:r>
        <w:rPr>
          <w:rFonts w:hint="eastAsia" w:ascii="楷体_GB2312" w:cs="楷体_GB2312"/>
          <w:b/>
          <w:bCs/>
          <w:color w:val="000000"/>
          <w:kern w:val="0"/>
          <w:sz w:val="24"/>
          <w:szCs w:val="24"/>
          <w:lang w:val="en-US" w:eastAsia="zh-CN" w:bidi="ar"/>
        </w:rPr>
        <w:t>其他需求</w:t>
      </w:r>
    </w:p>
    <w:p w14:paraId="48E61EBD">
      <w:pPr>
        <w:pStyle w:val="14"/>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1.供应商须具备《社会消防技术服务管理规定》所要求的开展消防设施维护保养检测、消防安全评估服务的全部从业资质条件。</w:t>
      </w:r>
    </w:p>
    <w:p w14:paraId="2A92E180">
      <w:pPr>
        <w:pStyle w:val="14"/>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2.本项目配置的项目负责人须具备一级注册消防工程师执业资格，且注册执业单位为本次响应供应商单位；配置检测人员4-5名，均须具备中级及以上消防设施操作员职业资格，人员执业登记单位、社保缴纳单位须为本供应商单位</w:t>
      </w:r>
      <w:r>
        <w:rPr>
          <w:rFonts w:hint="eastAsia" w:ascii="仿宋" w:hAnsi="仿宋" w:eastAsia="仿宋" w:cs="仿宋"/>
          <w:b/>
          <w:bCs/>
          <w:color w:val="000000"/>
          <w:kern w:val="0"/>
          <w:sz w:val="24"/>
          <w:szCs w:val="24"/>
          <w:lang w:val="en-US" w:eastAsia="zh-CN" w:bidi="ar"/>
        </w:rPr>
        <w:t>（投标时需提供以上人员在投标人单位近三个月内任一个月的社保缴纳证明材料）</w:t>
      </w:r>
      <w:r>
        <w:rPr>
          <w:rFonts w:hint="eastAsia" w:ascii="仿宋" w:hAnsi="仿宋" w:eastAsia="仿宋" w:cs="仿宋"/>
          <w:b w:val="0"/>
          <w:bCs w:val="0"/>
          <w:color w:val="000000"/>
          <w:kern w:val="0"/>
          <w:sz w:val="24"/>
          <w:szCs w:val="24"/>
          <w:lang w:val="en-US" w:eastAsia="zh-CN" w:bidi="ar"/>
        </w:rPr>
        <w:t>。</w:t>
      </w:r>
    </w:p>
    <w:p w14:paraId="7BD96730">
      <w:pPr>
        <w:pStyle w:val="14"/>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3.本项目不统一组织现场勘察，潜在投标人可与采购人联络后自行安排。勘察现场所发生的费用由投标人自行承担。除因采购人原因造成之外，投标人应对踏勘现场过程中发生的人身伤害、财产损失及相关费用开支自行承担全部责任。投标人无论是否进行现场踏勘，均视为已充分了解项目现场环境、现状及全部相关条件，投标报价已综合考虑现场全部因素，成交后不得以不完全了解现场情况为由提出调价、索赔等要求。</w:t>
      </w:r>
    </w:p>
    <w:p w14:paraId="26E6DAAC">
      <w:pPr>
        <w:pStyle w:val="14"/>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4.报告要求：</w:t>
      </w:r>
    </w:p>
    <w:p w14:paraId="2352482F">
      <w:pPr>
        <w:pStyle w:val="14"/>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1）每幢大楼（1、2、3、4、5、6、7、8、9、10、11、12、13、14、15、16、17、18、19、20、21A、21B、21C、21D、22A、22B、22C、22D、23号楼、东区地下车库、西区地下车库、10号楼地下车库）初次检测结束【7】个工作日内向采购人出具</w:t>
      </w:r>
      <w:r>
        <w:rPr>
          <w:rFonts w:hint="eastAsia" w:ascii="仿宋" w:hAnsi="仿宋" w:eastAsia="仿宋" w:cs="仿宋"/>
          <w:b/>
          <w:bCs/>
          <w:color w:val="000000"/>
          <w:kern w:val="0"/>
          <w:sz w:val="24"/>
          <w:szCs w:val="24"/>
          <w:lang w:val="en-US" w:eastAsia="zh-CN" w:bidi="ar"/>
        </w:rPr>
        <w:t>《检测情况反馈意见书》</w:t>
      </w:r>
      <w:r>
        <w:rPr>
          <w:rFonts w:hint="eastAsia" w:ascii="仿宋" w:hAnsi="仿宋" w:eastAsia="仿宋" w:cs="仿宋"/>
          <w:b w:val="0"/>
          <w:bCs w:val="0"/>
          <w:color w:val="000000"/>
          <w:kern w:val="0"/>
          <w:sz w:val="24"/>
          <w:szCs w:val="24"/>
          <w:lang w:val="en-US" w:eastAsia="zh-CN" w:bidi="ar"/>
        </w:rPr>
        <w:t>，并在收到采购人要求复检通知后组织人员进行复检，在完成现场检测后【7】个工作日提交完整的</w:t>
      </w:r>
      <w:r>
        <w:rPr>
          <w:rFonts w:hint="eastAsia" w:ascii="仿宋" w:hAnsi="仿宋" w:eastAsia="仿宋" w:cs="仿宋"/>
          <w:b/>
          <w:bCs/>
          <w:color w:val="000000"/>
          <w:kern w:val="0"/>
          <w:sz w:val="24"/>
          <w:szCs w:val="24"/>
          <w:lang w:val="en-US" w:eastAsia="zh-CN" w:bidi="ar"/>
        </w:rPr>
        <w:t>《建筑消防设施年度检测报告》并经采购人组织的验收组验收合格</w:t>
      </w:r>
      <w:r>
        <w:rPr>
          <w:rFonts w:hint="eastAsia" w:ascii="仿宋" w:hAnsi="仿宋" w:eastAsia="仿宋" w:cs="仿宋"/>
          <w:b w:val="0"/>
          <w:bCs w:val="0"/>
          <w:color w:val="000000"/>
          <w:kern w:val="0"/>
          <w:sz w:val="24"/>
          <w:szCs w:val="24"/>
          <w:lang w:val="en-US" w:eastAsia="zh-CN" w:bidi="ar"/>
        </w:rPr>
        <w:t>，每幢楼一式贰份，并提供隐患清单，判定隐患严重程度。</w:t>
      </w:r>
    </w:p>
    <w:p w14:paraId="6CC83DC7">
      <w:pPr>
        <w:pStyle w:val="14"/>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（2）完成消防安全评估工作后，【7】个工作日内出具壹份</w:t>
      </w:r>
      <w:r>
        <w:rPr>
          <w:rFonts w:hint="eastAsia" w:ascii="仿宋" w:hAnsi="仿宋" w:eastAsia="仿宋" w:cs="仿宋"/>
          <w:b/>
          <w:bCs/>
          <w:color w:val="000000"/>
          <w:kern w:val="0"/>
          <w:sz w:val="24"/>
          <w:szCs w:val="24"/>
          <w:lang w:val="en-US" w:eastAsia="zh-CN" w:bidi="ar"/>
        </w:rPr>
        <w:t>《消防安全评估报告》</w:t>
      </w:r>
      <w:r>
        <w:rPr>
          <w:rFonts w:hint="eastAsia" w:ascii="仿宋" w:hAnsi="仿宋" w:eastAsia="仿宋" w:cs="仿宋"/>
          <w:b w:val="0"/>
          <w:bCs w:val="0"/>
          <w:color w:val="000000"/>
          <w:kern w:val="0"/>
          <w:sz w:val="24"/>
          <w:szCs w:val="24"/>
          <w:lang w:val="en-US" w:eastAsia="zh-CN" w:bidi="ar"/>
        </w:rPr>
        <w:t>并经采购人组织的验收组验收合格。</w:t>
      </w:r>
    </w:p>
    <w:p w14:paraId="4C09FD4E">
      <w:pPr>
        <w:pStyle w:val="14"/>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5.验收：采购人成立验收小组，实地察看并验证检测情况。</w:t>
      </w:r>
    </w:p>
    <w:p w14:paraId="31A601DC">
      <w:pPr>
        <w:pStyle w:val="14"/>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auto"/>
        <w:ind w:left="0" w:right="0" w:firstLine="480" w:firstLineChars="200"/>
        <w:jc w:val="both"/>
        <w:textAlignment w:val="auto"/>
        <w:rPr>
          <w:rFonts w:hint="default" w:ascii="仿宋" w:hAnsi="仿宋" w:eastAsia="仿宋" w:cs="仿宋"/>
          <w:b w:val="0"/>
          <w:bCs w:val="0"/>
          <w:color w:val="000000"/>
          <w:kern w:val="0"/>
          <w:sz w:val="24"/>
          <w:szCs w:val="24"/>
          <w:lang w:val="en-US" w:eastAsia="zh-CN" w:bidi="ar"/>
        </w:rPr>
      </w:pPr>
      <w:r>
        <w:rPr>
          <w:rFonts w:hint="default" w:ascii="仿宋" w:hAnsi="仿宋" w:eastAsia="仿宋" w:cs="仿宋"/>
          <w:b w:val="0"/>
          <w:bCs w:val="0"/>
          <w:color w:val="000000"/>
          <w:kern w:val="0"/>
          <w:sz w:val="24"/>
          <w:szCs w:val="24"/>
          <w:lang w:val="en-US" w:eastAsia="zh-CN" w:bidi="ar"/>
        </w:rPr>
        <w:t>注：“▲”为实质性条款，如果存在负偏离，则投标无效。</w:t>
      </w:r>
    </w:p>
    <w:p w14:paraId="6CD41AF6">
      <w:pPr>
        <w:pStyle w:val="10"/>
        <w:keepNext w:val="0"/>
        <w:keepLines w:val="0"/>
        <w:pageBreakBefore w:val="0"/>
        <w:widowControl w:val="0"/>
        <w:suppressLineNumbers w:val="0"/>
        <w:kinsoku/>
        <w:wordWrap/>
        <w:overflowPunct/>
        <w:topLinePunct w:val="0"/>
        <w:autoSpaceDE w:val="0"/>
        <w:autoSpaceDN/>
        <w:bidi w:val="0"/>
        <w:adjustRightInd/>
        <w:snapToGrid/>
        <w:spacing w:before="157" w:beforeLines="50" w:beforeAutospacing="0" w:line="360" w:lineRule="auto"/>
        <w:ind w:left="0" w:firstLine="0"/>
        <w:textAlignment w:val="auto"/>
        <w:outlineLvl w:val="1"/>
        <w:rPr>
          <w:rFonts w:hint="eastAsia" w:ascii="黑体" w:hAnsi="宋体" w:eastAsia="黑体" w:cs="黑体"/>
          <w:b w:val="0"/>
          <w:bCs w:val="0"/>
          <w:color w:val="000000"/>
          <w:kern w:val="0"/>
          <w:sz w:val="28"/>
          <w:szCs w:val="28"/>
        </w:rPr>
      </w:pPr>
      <w:r>
        <w:rPr>
          <w:rFonts w:hint="eastAsia" w:ascii="黑体" w:hAnsi="宋体" w:eastAsia="黑体" w:cs="黑体"/>
          <w:b w:val="0"/>
          <w:bCs w:val="0"/>
          <w:color w:val="000000"/>
          <w:kern w:val="0"/>
          <w:sz w:val="28"/>
          <w:szCs w:val="28"/>
          <w:lang w:val="en-US" w:eastAsia="zh-CN"/>
        </w:rPr>
        <w:t>二</w:t>
      </w:r>
      <w:r>
        <w:rPr>
          <w:rFonts w:hint="eastAsia" w:ascii="黑体" w:hAnsi="宋体" w:eastAsia="黑体" w:cs="黑体"/>
          <w:b w:val="0"/>
          <w:bCs w:val="0"/>
          <w:color w:val="000000"/>
          <w:kern w:val="0"/>
          <w:sz w:val="28"/>
          <w:szCs w:val="28"/>
        </w:rPr>
        <w:t>、</w:t>
      </w:r>
      <w:r>
        <w:rPr>
          <w:rFonts w:hint="eastAsia" w:ascii="黑体" w:hAnsi="宋体" w:eastAsia="黑体" w:cs="黑体"/>
          <w:b w:val="0"/>
          <w:bCs w:val="0"/>
          <w:color w:val="000000"/>
          <w:kern w:val="0"/>
          <w:sz w:val="28"/>
          <w:szCs w:val="28"/>
          <w:lang w:val="en-US" w:eastAsia="zh-CN"/>
        </w:rPr>
        <w:t>技术</w:t>
      </w:r>
      <w:r>
        <w:rPr>
          <w:rFonts w:hint="eastAsia" w:ascii="黑体" w:hAnsi="宋体" w:eastAsia="黑体" w:cs="黑体"/>
          <w:b w:val="0"/>
          <w:bCs w:val="0"/>
          <w:color w:val="000000"/>
          <w:kern w:val="0"/>
          <w:sz w:val="28"/>
          <w:szCs w:val="28"/>
        </w:rPr>
        <w:t>需求</w:t>
      </w:r>
    </w:p>
    <w:p w14:paraId="0A0D774D">
      <w:pPr>
        <w:pStyle w:val="10"/>
        <w:keepNext w:val="0"/>
        <w:keepLines w:val="0"/>
        <w:pageBreakBefore w:val="0"/>
        <w:widowControl w:val="0"/>
        <w:suppressLineNumbers w:val="0"/>
        <w:kinsoku/>
        <w:wordWrap/>
        <w:overflowPunct/>
        <w:topLinePunct w:val="0"/>
        <w:autoSpaceDE w:val="0"/>
        <w:autoSpaceDN/>
        <w:bidi w:val="0"/>
        <w:adjustRightInd/>
        <w:snapToGrid/>
        <w:spacing w:before="157" w:beforeLines="50" w:beforeAutospacing="0" w:line="360" w:lineRule="auto"/>
        <w:ind w:left="0" w:firstLine="0"/>
        <w:textAlignment w:val="auto"/>
        <w:outlineLvl w:val="1"/>
        <w:rPr>
          <w:rFonts w:hint="eastAsia" w:ascii="黑体" w:hAnsi="宋体" w:eastAsia="黑体" w:cs="黑体"/>
          <w:b w:val="0"/>
          <w:bCs w:val="0"/>
          <w:color w:val="000000"/>
          <w:kern w:val="0"/>
          <w:sz w:val="28"/>
          <w:szCs w:val="28"/>
        </w:rPr>
      </w:pPr>
      <w:r>
        <w:rPr>
          <w:rFonts w:hint="eastAsia" w:ascii="黑体" w:hAnsi="宋体" w:eastAsia="黑体" w:cs="黑体"/>
          <w:b w:val="0"/>
          <w:bCs w:val="0"/>
          <w:color w:val="000000"/>
          <w:kern w:val="0"/>
          <w:sz w:val="28"/>
          <w:szCs w:val="28"/>
          <w:lang w:eastAsia="zh-CN"/>
        </w:rPr>
        <w:t>（</w:t>
      </w:r>
      <w:r>
        <w:rPr>
          <w:rFonts w:hint="eastAsia" w:ascii="黑体" w:hAnsi="宋体" w:eastAsia="黑体" w:cs="黑体"/>
          <w:b w:val="0"/>
          <w:bCs w:val="0"/>
          <w:color w:val="000000"/>
          <w:kern w:val="0"/>
          <w:sz w:val="28"/>
          <w:szCs w:val="28"/>
          <w:lang w:val="en-US" w:eastAsia="zh-CN"/>
        </w:rPr>
        <w:t>一</w:t>
      </w:r>
      <w:r>
        <w:rPr>
          <w:rFonts w:hint="eastAsia" w:ascii="黑体" w:hAnsi="宋体" w:eastAsia="黑体" w:cs="黑体"/>
          <w:b w:val="0"/>
          <w:bCs w:val="0"/>
          <w:color w:val="000000"/>
          <w:kern w:val="0"/>
          <w:sz w:val="28"/>
          <w:szCs w:val="28"/>
          <w:lang w:eastAsia="zh-CN"/>
        </w:rPr>
        <w:t>）</w:t>
      </w:r>
      <w:r>
        <w:rPr>
          <w:rFonts w:hint="eastAsia" w:ascii="黑体" w:hAnsi="宋体" w:eastAsia="黑体" w:cs="黑体"/>
          <w:b w:val="0"/>
          <w:bCs w:val="0"/>
          <w:color w:val="000000"/>
          <w:kern w:val="0"/>
          <w:sz w:val="28"/>
          <w:szCs w:val="28"/>
        </w:rPr>
        <w:t>消防设施检测标准、具体服务内容</w:t>
      </w:r>
    </w:p>
    <w:p w14:paraId="570C7B18">
      <w:pPr>
        <w:pStyle w:val="10"/>
        <w:keepNext w:val="0"/>
        <w:keepLines w:val="0"/>
        <w:pageBreakBefore w:val="0"/>
        <w:widowControl w:val="0"/>
        <w:suppressLineNumbers w:val="0"/>
        <w:kinsoku/>
        <w:wordWrap/>
        <w:overflowPunct/>
        <w:topLinePunct w:val="0"/>
        <w:autoSpaceDE w:val="0"/>
        <w:autoSpaceDN/>
        <w:bidi w:val="0"/>
        <w:adjustRightInd/>
        <w:snapToGrid/>
        <w:spacing w:before="157" w:beforeLines="50" w:beforeAutospacing="0" w:line="360" w:lineRule="auto"/>
        <w:ind w:left="0" w:firstLine="0"/>
        <w:textAlignment w:val="auto"/>
        <w:outlineLvl w:val="1"/>
        <w:rPr>
          <w:rFonts w:hint="eastAsia" w:ascii="仿宋" w:hAnsi="仿宋" w:eastAsia="仿宋" w:cs="仿宋"/>
          <w:b/>
          <w:bCs/>
          <w:color w:val="000000"/>
          <w:kern w:val="0"/>
          <w:sz w:val="24"/>
          <w:szCs w:val="24"/>
          <w:lang w:val="en-US" w:eastAsia="zh-CN" w:bidi="ar"/>
        </w:rPr>
      </w:pPr>
      <w:r>
        <w:rPr>
          <w:rFonts w:hint="eastAsia" w:ascii="仿宋" w:hAnsi="仿宋" w:eastAsia="仿宋" w:cs="仿宋"/>
          <w:b/>
          <w:bCs/>
          <w:color w:val="000000"/>
          <w:kern w:val="0"/>
          <w:sz w:val="24"/>
          <w:szCs w:val="24"/>
          <w:lang w:val="en-US" w:eastAsia="zh-CN" w:bidi="ar"/>
        </w:rPr>
        <w:t>1.消防设施检测标准</w:t>
      </w:r>
    </w:p>
    <w:p w14:paraId="04C6890A">
      <w:pPr>
        <w:widowControl w:val="0"/>
        <w:numPr>
          <w:ilvl w:val="0"/>
          <w:numId w:val="0"/>
        </w:numPr>
        <w:snapToGrid w:val="0"/>
        <w:spacing w:line="360" w:lineRule="auto"/>
        <w:ind w:firstLine="420"/>
        <w:jc w:val="left"/>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本项目消防设施检测、消防安全评估工作执行现行国家、行业及地方有效标准、规范，包括但不限于：</w:t>
      </w:r>
    </w:p>
    <w:p w14:paraId="5581F358">
      <w:pPr>
        <w:widowControl w:val="0"/>
        <w:numPr>
          <w:ilvl w:val="0"/>
          <w:numId w:val="7"/>
        </w:numPr>
        <w:snapToGrid w:val="0"/>
        <w:spacing w:line="360" w:lineRule="auto"/>
        <w:ind w:left="635" w:leftChars="0" w:hanging="425" w:firstLineChars="0"/>
        <w:jc w:val="left"/>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《建筑消防设施检测技术规范》GB/T 44481-2024</w:t>
      </w:r>
    </w:p>
    <w:p w14:paraId="5CB783B5">
      <w:pPr>
        <w:widowControl w:val="0"/>
        <w:numPr>
          <w:ilvl w:val="0"/>
          <w:numId w:val="7"/>
        </w:numPr>
        <w:snapToGrid w:val="0"/>
        <w:spacing w:line="360" w:lineRule="auto"/>
        <w:ind w:left="635" w:leftChars="0" w:hanging="425" w:firstLineChars="0"/>
        <w:jc w:val="left"/>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《建筑设计防火规范》GB 50016-2014（2018 年版）</w:t>
      </w:r>
    </w:p>
    <w:p w14:paraId="5EB4C28C">
      <w:pPr>
        <w:widowControl w:val="0"/>
        <w:numPr>
          <w:ilvl w:val="0"/>
          <w:numId w:val="7"/>
        </w:numPr>
        <w:snapToGrid w:val="0"/>
        <w:spacing w:line="360" w:lineRule="auto"/>
        <w:ind w:left="635" w:leftChars="0" w:hanging="425" w:firstLineChars="0"/>
        <w:jc w:val="left"/>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《火灾自动报警系统设计规范》GB 50116-2013</w:t>
      </w:r>
    </w:p>
    <w:p w14:paraId="31BB35EC">
      <w:pPr>
        <w:widowControl w:val="0"/>
        <w:numPr>
          <w:ilvl w:val="0"/>
          <w:numId w:val="7"/>
        </w:numPr>
        <w:snapToGrid w:val="0"/>
        <w:spacing w:line="360" w:lineRule="auto"/>
        <w:ind w:left="635" w:leftChars="0" w:hanging="425" w:firstLineChars="0"/>
        <w:jc w:val="left"/>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《火灾自动报警系统施工及验收标准》GB 50166-2019</w:t>
      </w:r>
    </w:p>
    <w:p w14:paraId="7B9A1FFA">
      <w:pPr>
        <w:widowControl w:val="0"/>
        <w:numPr>
          <w:ilvl w:val="0"/>
          <w:numId w:val="7"/>
        </w:numPr>
        <w:snapToGrid w:val="0"/>
        <w:spacing w:line="360" w:lineRule="auto"/>
        <w:ind w:left="635" w:leftChars="0" w:hanging="425" w:firstLineChars="0"/>
        <w:jc w:val="left"/>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《自动喷水灭火系统设计规范》GB 50084-2017</w:t>
      </w:r>
    </w:p>
    <w:p w14:paraId="1C7E5FD7">
      <w:pPr>
        <w:widowControl w:val="0"/>
        <w:numPr>
          <w:ilvl w:val="0"/>
          <w:numId w:val="7"/>
        </w:numPr>
        <w:snapToGrid w:val="0"/>
        <w:spacing w:line="360" w:lineRule="auto"/>
        <w:ind w:left="635" w:leftChars="0" w:hanging="425" w:firstLineChars="0"/>
        <w:jc w:val="left"/>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《自动喷水灭火系统施工及验收规范》GB 50261-2017</w:t>
      </w:r>
    </w:p>
    <w:p w14:paraId="784F9212">
      <w:pPr>
        <w:widowControl w:val="0"/>
        <w:numPr>
          <w:ilvl w:val="0"/>
          <w:numId w:val="7"/>
        </w:numPr>
        <w:snapToGrid w:val="0"/>
        <w:spacing w:line="360" w:lineRule="auto"/>
        <w:ind w:left="635" w:leftChars="0" w:hanging="425" w:firstLineChars="0"/>
        <w:jc w:val="left"/>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《固定消防炮灭火系统设计规范》GB 50338-2003</w:t>
      </w:r>
    </w:p>
    <w:p w14:paraId="197684F7">
      <w:pPr>
        <w:widowControl w:val="0"/>
        <w:numPr>
          <w:ilvl w:val="0"/>
          <w:numId w:val="7"/>
        </w:numPr>
        <w:snapToGrid w:val="0"/>
        <w:spacing w:line="360" w:lineRule="auto"/>
        <w:ind w:left="635" w:leftChars="0" w:hanging="425" w:firstLineChars="0"/>
        <w:jc w:val="left"/>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《固定消防炮灭火系统施工与验收规范》GB 50498-2009</w:t>
      </w:r>
    </w:p>
    <w:p w14:paraId="7713AF16">
      <w:pPr>
        <w:widowControl w:val="0"/>
        <w:numPr>
          <w:ilvl w:val="0"/>
          <w:numId w:val="7"/>
        </w:numPr>
        <w:snapToGrid w:val="0"/>
        <w:spacing w:line="360" w:lineRule="auto"/>
        <w:ind w:left="635" w:leftChars="0" w:hanging="425" w:firstLineChars="0"/>
        <w:jc w:val="left"/>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《水喷雾灭火系统技术规范》GB 50219-2014</w:t>
      </w:r>
    </w:p>
    <w:p w14:paraId="74E8424D">
      <w:pPr>
        <w:widowControl w:val="0"/>
        <w:numPr>
          <w:ilvl w:val="0"/>
          <w:numId w:val="7"/>
        </w:numPr>
        <w:snapToGrid w:val="0"/>
        <w:spacing w:line="360" w:lineRule="auto"/>
        <w:ind w:left="635" w:leftChars="0" w:hanging="425" w:firstLineChars="0"/>
        <w:jc w:val="left"/>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《气体灭火系统设计规范》GB 50370-2005</w:t>
      </w:r>
    </w:p>
    <w:p w14:paraId="20303E68">
      <w:pPr>
        <w:widowControl w:val="0"/>
        <w:numPr>
          <w:ilvl w:val="0"/>
          <w:numId w:val="7"/>
        </w:numPr>
        <w:snapToGrid w:val="0"/>
        <w:spacing w:line="360" w:lineRule="auto"/>
        <w:ind w:left="635" w:leftChars="0" w:hanging="425" w:firstLineChars="0"/>
        <w:jc w:val="left"/>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《气体灭火系统施工及验收规范》GB 50263-2007</w:t>
      </w:r>
    </w:p>
    <w:p w14:paraId="342CEB8F">
      <w:pPr>
        <w:widowControl w:val="0"/>
        <w:numPr>
          <w:ilvl w:val="0"/>
          <w:numId w:val="7"/>
        </w:numPr>
        <w:snapToGrid w:val="0"/>
        <w:spacing w:line="360" w:lineRule="auto"/>
        <w:ind w:left="635" w:leftChars="0" w:hanging="425" w:firstLineChars="0"/>
        <w:jc w:val="left"/>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《二氧化碳灭火系统设计规范》GB 50193-93（2010 年版）</w:t>
      </w:r>
    </w:p>
    <w:p w14:paraId="5103A42D">
      <w:pPr>
        <w:widowControl w:val="0"/>
        <w:numPr>
          <w:ilvl w:val="0"/>
          <w:numId w:val="7"/>
        </w:numPr>
        <w:snapToGrid w:val="0"/>
        <w:spacing w:line="360" w:lineRule="auto"/>
        <w:ind w:left="635" w:leftChars="0" w:hanging="425" w:firstLineChars="0"/>
        <w:jc w:val="left"/>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《泡沫灭火系统技术标准》GB 50151-2021</w:t>
      </w:r>
    </w:p>
    <w:p w14:paraId="173237BC">
      <w:pPr>
        <w:widowControl w:val="0"/>
        <w:numPr>
          <w:ilvl w:val="0"/>
          <w:numId w:val="7"/>
        </w:numPr>
        <w:snapToGrid w:val="0"/>
        <w:spacing w:line="360" w:lineRule="auto"/>
        <w:ind w:left="635" w:leftChars="0" w:hanging="425" w:firstLineChars="0"/>
        <w:jc w:val="left"/>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《人民防空工程设计防火规范》GB 50098-2009</w:t>
      </w:r>
    </w:p>
    <w:p w14:paraId="492504E0">
      <w:pPr>
        <w:widowControl w:val="0"/>
        <w:numPr>
          <w:ilvl w:val="0"/>
          <w:numId w:val="7"/>
        </w:numPr>
        <w:snapToGrid w:val="0"/>
        <w:spacing w:line="360" w:lineRule="auto"/>
        <w:ind w:left="635" w:leftChars="0" w:hanging="425" w:firstLineChars="0"/>
        <w:jc w:val="left"/>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《汽车库、修车库、停车场设计防火规范》GB 50067-2014</w:t>
      </w:r>
    </w:p>
    <w:p w14:paraId="0A02804D">
      <w:pPr>
        <w:widowControl w:val="0"/>
        <w:numPr>
          <w:ilvl w:val="0"/>
          <w:numId w:val="7"/>
        </w:numPr>
        <w:snapToGrid w:val="0"/>
        <w:spacing w:line="360" w:lineRule="auto"/>
        <w:ind w:left="635" w:leftChars="0" w:hanging="425" w:firstLineChars="0"/>
        <w:jc w:val="left"/>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《建筑灭火器配置设计规范》GB 50140-2005</w:t>
      </w:r>
    </w:p>
    <w:p w14:paraId="5052AC14">
      <w:pPr>
        <w:widowControl w:val="0"/>
        <w:numPr>
          <w:ilvl w:val="0"/>
          <w:numId w:val="0"/>
        </w:numPr>
        <w:snapToGrid w:val="0"/>
        <w:spacing w:line="360" w:lineRule="auto"/>
        <w:ind w:firstLine="420"/>
        <w:jc w:val="left"/>
        <w:rPr>
          <w:rFonts w:hint="eastAsia" w:ascii="仿宋" w:hAnsi="仿宋" w:eastAsia="仿宋" w:cs="仿宋"/>
          <w:b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上述规范、标准如存在更新、局部修订的，均执行现行有效最新版本。</w:t>
      </w:r>
    </w:p>
    <w:p w14:paraId="12522AE5">
      <w:pPr>
        <w:pStyle w:val="10"/>
        <w:keepNext w:val="0"/>
        <w:keepLines w:val="0"/>
        <w:pageBreakBefore w:val="0"/>
        <w:widowControl w:val="0"/>
        <w:suppressLineNumbers w:val="0"/>
        <w:kinsoku/>
        <w:wordWrap/>
        <w:overflowPunct/>
        <w:topLinePunct w:val="0"/>
        <w:autoSpaceDE w:val="0"/>
        <w:autoSpaceDN/>
        <w:bidi w:val="0"/>
        <w:adjustRightInd/>
        <w:snapToGrid/>
        <w:spacing w:before="157" w:beforeLines="50" w:beforeAutospacing="0" w:line="360" w:lineRule="auto"/>
        <w:ind w:left="0" w:firstLine="0"/>
        <w:textAlignment w:val="auto"/>
        <w:outlineLvl w:val="1"/>
        <w:rPr>
          <w:rFonts w:hint="eastAsia" w:ascii="仿宋" w:hAnsi="仿宋" w:eastAsia="仿宋" w:cs="仿宋"/>
          <w:b/>
          <w:bCs/>
          <w:color w:val="000000"/>
          <w:kern w:val="0"/>
          <w:sz w:val="24"/>
          <w:szCs w:val="24"/>
          <w:lang w:val="en-US" w:eastAsia="zh-CN" w:bidi="ar"/>
        </w:rPr>
      </w:pPr>
      <w:r>
        <w:rPr>
          <w:rFonts w:hint="eastAsia" w:ascii="仿宋" w:hAnsi="仿宋" w:eastAsia="仿宋" w:cs="仿宋"/>
          <w:b/>
          <w:bCs/>
          <w:color w:val="000000"/>
          <w:kern w:val="0"/>
          <w:sz w:val="24"/>
          <w:szCs w:val="24"/>
          <w:lang w:val="en-US" w:eastAsia="zh-CN" w:bidi="ar"/>
        </w:rPr>
        <w:t>2.具体服务内容、服务要求</w:t>
      </w:r>
    </w:p>
    <w:p w14:paraId="241E5E9B">
      <w:pPr>
        <w:widowControl w:val="0"/>
        <w:numPr>
          <w:ilvl w:val="0"/>
          <w:numId w:val="8"/>
        </w:numPr>
        <w:snapToGrid w:val="0"/>
        <w:spacing w:line="360" w:lineRule="auto"/>
        <w:ind w:left="635" w:leftChars="0" w:hanging="425" w:firstLineChars="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主要服务内容：对湖州学院区域内消防设施进行检测，发现隐患，提出合理可行的整改意见和建议，每幢大楼（1、2、3、4、5、6、7、8、9、10、11、12、13、14、15、16、17、18、19、20、21A、21B、21C、21D、22A、22B、22C、22D、23号楼、东区地下车库、西区地下车库、10号楼地下车库）初次检测结束【7】个工作日内向采购人出具《检测情况反馈意见书》，并在收到采购人要求复检通知后组织人员进行复检，在完成现场检测后【7】个工作日内提交完整的、符合国家及行业要求认可的</w:t>
      </w:r>
      <w:r>
        <w:rPr>
          <w:rFonts w:hint="eastAsia" w:ascii="仿宋" w:hAnsi="仿宋" w:eastAsia="仿宋" w:cs="仿宋"/>
          <w:b/>
          <w:bCs/>
          <w:color w:val="000000"/>
          <w:kern w:val="0"/>
          <w:sz w:val="24"/>
          <w:szCs w:val="24"/>
          <w:lang w:val="en-US" w:eastAsia="zh-CN" w:bidi="ar"/>
        </w:rPr>
        <w:t>《建筑消防设施年度检测报告》</w:t>
      </w:r>
      <w:r>
        <w:rPr>
          <w:rFonts w:hint="eastAsia" w:ascii="仿宋" w:hAnsi="仿宋" w:eastAsia="仿宋" w:cs="仿宋"/>
          <w:color w:val="000000"/>
          <w:kern w:val="0"/>
          <w:sz w:val="24"/>
          <w:szCs w:val="24"/>
          <w:lang w:val="en-US" w:eastAsia="zh-CN" w:bidi="ar"/>
        </w:rPr>
        <w:t>，每幢楼一式贰份。</w:t>
      </w:r>
    </w:p>
    <w:p w14:paraId="6150BB47">
      <w:pPr>
        <w:widowControl w:val="0"/>
        <w:numPr>
          <w:ilvl w:val="0"/>
          <w:numId w:val="8"/>
        </w:numPr>
        <w:snapToGrid w:val="0"/>
        <w:spacing w:line="360" w:lineRule="auto"/>
        <w:ind w:left="635" w:leftChars="0" w:hanging="425" w:firstLineChars="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项目地点：湖州市吴兴区妙峰山北路999号</w:t>
      </w:r>
    </w:p>
    <w:p w14:paraId="6D9D632A">
      <w:pPr>
        <w:widowControl w:val="0"/>
        <w:numPr>
          <w:ilvl w:val="0"/>
          <w:numId w:val="8"/>
        </w:numPr>
        <w:snapToGrid w:val="0"/>
        <w:spacing w:line="360" w:lineRule="auto"/>
        <w:ind w:left="635" w:leftChars="0" w:hanging="425" w:firstLineChars="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检测范围：湖州学院（1、2、3、4、5、6、7、8、9、10、11、12、13、14、15、16、17、18、19、20、21A、21B、21C、21D、22A、22B、22C、22D、23号楼、东区地下车库、西区地下车库、10号楼地下车库）建筑消防设施的质量和系统功能。</w:t>
      </w:r>
    </w:p>
    <w:p w14:paraId="49608C53">
      <w:pPr>
        <w:widowControl w:val="0"/>
        <w:numPr>
          <w:ilvl w:val="0"/>
          <w:numId w:val="8"/>
        </w:numPr>
        <w:snapToGrid w:val="0"/>
        <w:spacing w:line="360" w:lineRule="auto"/>
        <w:ind w:left="635" w:leftChars="0" w:hanging="425" w:firstLineChars="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抽样检测要求：本次消防设施检测按设备系统类别划分抽样单元，对同品类设备实施抽样检测，抽样检测比例不得低于该品类设备总数的 25％；抽样方法、样本选取同时执行《建筑消防设施检测技术规范》（GB/T 44481‑2024）的相关要求。</w:t>
      </w:r>
      <w:r>
        <w:rPr>
          <w:rFonts w:hint="eastAsia" w:ascii="仿宋" w:hAnsi="仿宋" w:eastAsia="仿宋" w:cs="仿宋"/>
          <w:b/>
          <w:bCs/>
          <w:color w:val="000000"/>
          <w:kern w:val="0"/>
          <w:sz w:val="24"/>
          <w:szCs w:val="24"/>
          <w:lang w:val="en-US" w:eastAsia="zh-CN" w:bidi="ar"/>
        </w:rPr>
        <w:t>若国家标准规定的抽样比例高于本项目约定比例，则执行国家标准</w:t>
      </w:r>
      <w:r>
        <w:rPr>
          <w:rFonts w:hint="eastAsia" w:ascii="仿宋" w:hAnsi="仿宋" w:eastAsia="仿宋" w:cs="仿宋"/>
          <w:color w:val="000000"/>
          <w:kern w:val="0"/>
          <w:sz w:val="24"/>
          <w:szCs w:val="24"/>
          <w:lang w:val="en-US" w:eastAsia="zh-CN" w:bidi="ar"/>
        </w:rPr>
        <w:t>；</w:t>
      </w:r>
      <w:r>
        <w:rPr>
          <w:rFonts w:hint="eastAsia" w:ascii="仿宋" w:hAnsi="仿宋" w:eastAsia="仿宋" w:cs="仿宋"/>
          <w:b/>
          <w:bCs/>
          <w:color w:val="000000"/>
          <w:kern w:val="0"/>
          <w:sz w:val="24"/>
          <w:szCs w:val="24"/>
          <w:lang w:val="en-US" w:eastAsia="zh-CN" w:bidi="ar"/>
        </w:rPr>
        <w:t>当同一品类设备数量较少不足以开展有效抽样时，对该品类设备进行全数检测。</w:t>
      </w:r>
    </w:p>
    <w:p w14:paraId="7726D11F">
      <w:pPr>
        <w:widowControl w:val="0"/>
        <w:numPr>
          <w:ilvl w:val="0"/>
          <w:numId w:val="8"/>
        </w:numPr>
        <w:snapToGrid w:val="0"/>
        <w:spacing w:line="360" w:lineRule="auto"/>
        <w:ind w:left="635" w:leftChars="0" w:hanging="425" w:firstLineChars="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技术指导与培训服务：中标人应当在开展本项目消防检测、消防安全评估作业同期，结合现场检测实际情况，为采购人指定的管理、运维工作人员提供配套技术指导与基础业务培训。培训内容限于：消防设施日常巡查要点、设施维护注意事项、本次检测发现隐患解读、基础消防安全管理常识；培训以现场随工讲解为主，采购人指定参训人员不超过 8 人，不提供职业技能考证、大型全员宣讲类培训。本项服务所有费用已包含在投标总报价中，采购人无需另行付费。</w:t>
      </w:r>
    </w:p>
    <w:p w14:paraId="6D581535">
      <w:pPr>
        <w:widowControl w:val="0"/>
        <w:numPr>
          <w:ilvl w:val="0"/>
          <w:numId w:val="8"/>
        </w:numPr>
        <w:snapToGrid w:val="0"/>
        <w:spacing w:line="360" w:lineRule="auto"/>
        <w:ind w:left="635" w:leftChars="0" w:hanging="425" w:firstLineChars="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服务要求：</w:t>
      </w:r>
    </w:p>
    <w:p w14:paraId="7ABA7438">
      <w:pPr>
        <w:keepNext w:val="0"/>
        <w:keepLines w:val="0"/>
        <w:pageBreakBefore w:val="0"/>
        <w:widowControl w:val="0"/>
        <w:numPr>
          <w:ilvl w:val="0"/>
          <w:numId w:val="9"/>
        </w:numPr>
        <w:kinsoku/>
        <w:wordWrap/>
        <w:overflowPunct/>
        <w:topLinePunct w:val="0"/>
        <w:autoSpaceDE/>
        <w:autoSpaceDN/>
        <w:bidi w:val="0"/>
        <w:adjustRightInd/>
        <w:snapToGrid w:val="0"/>
        <w:spacing w:line="360" w:lineRule="auto"/>
        <w:ind w:left="1055" w:leftChars="0" w:hanging="425" w:firstLineChars="0"/>
        <w:jc w:val="left"/>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中标人开展的消防设施、电气设备检测及消防安全评估工作，检测结果应当符合国家、行业现行消防相关规范标准要求。</w:t>
      </w:r>
    </w:p>
    <w:p w14:paraId="63DE721B">
      <w:pPr>
        <w:keepNext w:val="0"/>
        <w:keepLines w:val="0"/>
        <w:pageBreakBefore w:val="0"/>
        <w:widowControl w:val="0"/>
        <w:numPr>
          <w:ilvl w:val="0"/>
          <w:numId w:val="9"/>
        </w:numPr>
        <w:kinsoku/>
        <w:wordWrap/>
        <w:overflowPunct/>
        <w:topLinePunct w:val="0"/>
        <w:autoSpaceDE/>
        <w:autoSpaceDN/>
        <w:bidi w:val="0"/>
        <w:adjustRightInd/>
        <w:snapToGrid w:val="0"/>
        <w:spacing w:line="360" w:lineRule="auto"/>
        <w:ind w:left="1055" w:leftChars="0" w:hanging="425" w:firstLineChars="0"/>
        <w:jc w:val="left"/>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检测应当覆盖全部约定检测范围，检测结论做到客观、真实、完整，严禁漏检、少检，严禁隐瞒现场实际情况、篡改检测数据，严禁出具虚假、失实检测及评估报告。</w:t>
      </w:r>
    </w:p>
    <w:p w14:paraId="47803C5A">
      <w:pPr>
        <w:keepNext w:val="0"/>
        <w:keepLines w:val="0"/>
        <w:pageBreakBefore w:val="0"/>
        <w:widowControl w:val="0"/>
        <w:numPr>
          <w:ilvl w:val="0"/>
          <w:numId w:val="9"/>
        </w:numPr>
        <w:kinsoku/>
        <w:wordWrap/>
        <w:overflowPunct/>
        <w:topLinePunct w:val="0"/>
        <w:autoSpaceDE/>
        <w:autoSpaceDN/>
        <w:bidi w:val="0"/>
        <w:adjustRightInd/>
        <w:snapToGrid w:val="0"/>
        <w:spacing w:line="360" w:lineRule="auto"/>
        <w:ind w:left="1055" w:leftChars="0" w:hanging="425" w:firstLineChars="0"/>
        <w:jc w:val="left"/>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在本项目检测报告对应的服务有效期限内，如发生火灾事故，经有权部门调查认定，火灾损失扩大与中标人本次检测存在履职过错直接相关，即属于中标人漏检隐患、应当发现而未发现，或未出具有效的隐患整改建议情形的，中标人应当依法承担相应责任。因采购人后期改造、设施后期损坏、采购人未落实隐患整改、设备自然老化等非中标人检测原因造成的后果，不由中标人承担责任。</w:t>
      </w:r>
    </w:p>
    <w:p w14:paraId="100EBBC9">
      <w:pPr>
        <w:keepNext w:val="0"/>
        <w:keepLines w:val="0"/>
        <w:pageBreakBefore w:val="0"/>
        <w:widowControl w:val="0"/>
        <w:numPr>
          <w:ilvl w:val="0"/>
          <w:numId w:val="9"/>
        </w:numPr>
        <w:kinsoku/>
        <w:wordWrap/>
        <w:overflowPunct/>
        <w:topLinePunct w:val="0"/>
        <w:autoSpaceDE/>
        <w:autoSpaceDN/>
        <w:bidi w:val="0"/>
        <w:adjustRightInd/>
        <w:snapToGrid w:val="0"/>
        <w:spacing w:line="360" w:lineRule="auto"/>
        <w:ind w:left="1055" w:leftChars="0" w:hanging="425" w:firstLineChars="0"/>
        <w:jc w:val="left"/>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中标人应合理统筹检测作业时间，采取有效措施，最大限度减少对采购人正常办公秩序的影响。</w:t>
      </w:r>
    </w:p>
    <w:p w14:paraId="67BE670F">
      <w:pPr>
        <w:keepNext w:val="0"/>
        <w:keepLines w:val="0"/>
        <w:pageBreakBefore w:val="0"/>
        <w:widowControl w:val="0"/>
        <w:numPr>
          <w:ilvl w:val="0"/>
          <w:numId w:val="9"/>
        </w:numPr>
        <w:kinsoku/>
        <w:wordWrap/>
        <w:overflowPunct/>
        <w:topLinePunct w:val="0"/>
        <w:autoSpaceDE/>
        <w:autoSpaceDN/>
        <w:bidi w:val="0"/>
        <w:adjustRightInd/>
        <w:snapToGrid w:val="0"/>
        <w:spacing w:line="360" w:lineRule="auto"/>
        <w:ind w:left="1055" w:leftChars="0" w:hanging="425" w:firstLineChars="0"/>
        <w:jc w:val="left"/>
        <w:textAlignment w:val="auto"/>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中标人应对派驻现场作业人员落实安全教育及安全防护措施。因中标人作业原因引发的安全事故、人身及财产损害，由中标人承担全部责任；因采购人现场场地、设施等采购人方面原因引发的安全事故，由采购人承担相应责任。</w:t>
      </w:r>
    </w:p>
    <w:p w14:paraId="40853991">
      <w:pPr>
        <w:widowControl w:val="0"/>
        <w:numPr>
          <w:ilvl w:val="0"/>
          <w:numId w:val="8"/>
        </w:numPr>
        <w:snapToGrid w:val="0"/>
        <w:spacing w:line="360" w:lineRule="auto"/>
        <w:ind w:left="635" w:leftChars="0" w:hanging="425" w:firstLineChars="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交付清单完整内容：</w:t>
      </w:r>
    </w:p>
    <w:p w14:paraId="209B0233">
      <w:pPr>
        <w:widowControl w:val="0"/>
        <w:numPr>
          <w:ilvl w:val="0"/>
          <w:numId w:val="10"/>
        </w:numPr>
        <w:snapToGrid w:val="0"/>
        <w:spacing w:line="360" w:lineRule="auto"/>
        <w:ind w:left="1055" w:leftChars="0" w:hanging="425" w:firstLineChars="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正式报告文件（纸质 + 可编辑电子版 + PDF 盖章版）</w:t>
      </w:r>
    </w:p>
    <w:p w14:paraId="610110C0">
      <w:pPr>
        <w:widowControl w:val="0"/>
        <w:numPr>
          <w:ilvl w:val="0"/>
          <w:numId w:val="0"/>
        </w:numPr>
        <w:snapToGrid w:val="0"/>
        <w:spacing w:line="360" w:lineRule="auto"/>
        <w:ind w:left="630" w:leftChars="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①建筑消防设施年度检测报告（盖章扫描PDF +Word可编辑版 +纸质原件）</w:t>
      </w:r>
    </w:p>
    <w:p w14:paraId="561622EE">
      <w:pPr>
        <w:widowControl w:val="0"/>
        <w:numPr>
          <w:ilvl w:val="0"/>
          <w:numId w:val="0"/>
        </w:numPr>
        <w:snapToGrid w:val="0"/>
        <w:spacing w:line="360" w:lineRule="auto"/>
        <w:ind w:left="630" w:leftChars="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②消防安全评估报告（盖章扫描 PDF + Word 可编辑版 + 纸质原件）</w:t>
      </w:r>
    </w:p>
    <w:p w14:paraId="6146FB8F">
      <w:pPr>
        <w:widowControl w:val="0"/>
        <w:numPr>
          <w:ilvl w:val="0"/>
          <w:numId w:val="0"/>
        </w:numPr>
        <w:snapToGrid w:val="0"/>
        <w:spacing w:line="360" w:lineRule="auto"/>
        <w:ind w:left="630" w:leftChars="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③隐患问题汇总表：含隐患位置、问题描述、违反规范条款、风险等级、整改建议、整改措施</w:t>
      </w:r>
    </w:p>
    <w:p w14:paraId="21DDFE97">
      <w:pPr>
        <w:widowControl w:val="0"/>
        <w:numPr>
          <w:ilvl w:val="0"/>
          <w:numId w:val="10"/>
        </w:numPr>
        <w:snapToGrid w:val="0"/>
        <w:spacing w:line="360" w:lineRule="auto"/>
        <w:ind w:left="1055" w:leftChars="0" w:hanging="425" w:firstLineChars="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现场影像资料（全部带统一项目水印：项目名称 + 检测日期，水印相机原始素材，不得仅截图二次导出）</w:t>
      </w:r>
    </w:p>
    <w:p w14:paraId="75194D72">
      <w:pPr>
        <w:widowControl w:val="0"/>
        <w:numPr>
          <w:ilvl w:val="0"/>
          <w:numId w:val="0"/>
        </w:numPr>
        <w:snapToGrid w:val="0"/>
        <w:spacing w:line="360" w:lineRule="auto"/>
        <w:ind w:leftChars="30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①水印相机现场照片（点位打卡照片）：每个检测点位对应现场实拍照片；故障 / 隐患点必须特写照片 + 环境全景照；包含：系统设备外观、铭牌、仪表读数、测试工况、隐患实拍、重点场所（消控室、微型消防站、危化品仓库、变配电房、食堂燃气区域、消防车道、登高场地、救援窗口等）现场照片；保留水印相机原始 EXIF 信息（时间、地点 GPS 点位打卡信息，不可去除）。</w:t>
      </w:r>
    </w:p>
    <w:p w14:paraId="06D28DF3">
      <w:pPr>
        <w:widowControl w:val="0"/>
        <w:numPr>
          <w:ilvl w:val="0"/>
          <w:numId w:val="0"/>
        </w:numPr>
        <w:snapToGrid w:val="0"/>
        <w:spacing w:line="360" w:lineRule="auto"/>
        <w:ind w:leftChars="30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②检测全过程视频资料：系统功能测试录像：报警联动测试、主备电源切换、泵组启停、末端试水、防排烟联动、气体模拟试验、非消防电源强切、门禁解锁、燃气探测器联动切断等关键功能试验视频；重点场所实地巡检视频：消控室、微型消防站、危化品仓库、变配电房、食堂燃气区域、消防车道、登高场地、救援窗口现场巡检视频；要求：视频带项目水印，标注拍摄点位，保留原始录制文件，不做过度剪辑。</w:t>
      </w:r>
    </w:p>
    <w:p w14:paraId="3BF334D1">
      <w:pPr>
        <w:widowControl w:val="0"/>
        <w:numPr>
          <w:ilvl w:val="0"/>
          <w:numId w:val="8"/>
        </w:numPr>
        <w:snapToGrid w:val="0"/>
        <w:spacing w:line="360" w:lineRule="auto"/>
        <w:ind w:left="635" w:leftChars="0" w:hanging="425" w:firstLineChars="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建筑消防设施检测面积：约36万㎡。各楼栋面积待投标人中标后，由采购人另行提供。</w:t>
      </w:r>
    </w:p>
    <w:p w14:paraId="3E203DB3">
      <w:pPr>
        <w:widowControl w:val="0"/>
        <w:numPr>
          <w:ilvl w:val="0"/>
          <w:numId w:val="8"/>
        </w:numPr>
        <w:snapToGrid w:val="0"/>
        <w:spacing w:line="360" w:lineRule="auto"/>
        <w:ind w:left="635" w:leftChars="0" w:hanging="425" w:firstLineChars="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主要检测项目及内容：</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36"/>
        <w:gridCol w:w="1362"/>
        <w:gridCol w:w="6252"/>
      </w:tblGrid>
      <w:tr w14:paraId="28D4C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shd w:val="clear" w:color="auto" w:fill="auto"/>
            <w:noWrap w:val="0"/>
            <w:vAlign w:val="center"/>
          </w:tcPr>
          <w:p w14:paraId="3D5A41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一级检测项目</w:t>
            </w:r>
          </w:p>
        </w:tc>
        <w:tc>
          <w:tcPr>
            <w:tcW w:w="0" w:type="auto"/>
            <w:shd w:val="clear" w:color="auto" w:fill="auto"/>
            <w:noWrap w:val="0"/>
            <w:vAlign w:val="center"/>
          </w:tcPr>
          <w:p w14:paraId="20A175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二级检测子项目</w:t>
            </w:r>
          </w:p>
        </w:tc>
        <w:tc>
          <w:tcPr>
            <w:tcW w:w="0" w:type="auto"/>
            <w:noWrap w:val="0"/>
            <w:vAlign w:val="top"/>
          </w:tcPr>
          <w:p w14:paraId="60F19211">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 xml:space="preserve">检测内容 </w:t>
            </w:r>
          </w:p>
        </w:tc>
      </w:tr>
      <w:tr w14:paraId="253EF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5" w:hRule="atLeast"/>
          <w:jc w:val="center"/>
        </w:trPr>
        <w:tc>
          <w:tcPr>
            <w:tcW w:w="0" w:type="auto"/>
            <w:noWrap w:val="0"/>
            <w:vAlign w:val="center"/>
          </w:tcPr>
          <w:p w14:paraId="52C81B77">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消防供配电</w:t>
            </w:r>
          </w:p>
        </w:tc>
        <w:tc>
          <w:tcPr>
            <w:tcW w:w="0" w:type="auto"/>
            <w:noWrap w:val="0"/>
            <w:vAlign w:val="center"/>
          </w:tcPr>
          <w:p w14:paraId="09271A6C">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消防配电</w:t>
            </w:r>
          </w:p>
        </w:tc>
        <w:tc>
          <w:tcPr>
            <w:tcW w:w="0" w:type="auto"/>
            <w:noWrap w:val="0"/>
            <w:vAlign w:val="center"/>
          </w:tcPr>
          <w:p w14:paraId="5727E600">
            <w:pPr>
              <w:keepNext w:val="0"/>
              <w:keepLines w:val="0"/>
              <w:widowControl/>
              <w:suppressLineNumbers w:val="0"/>
              <w:spacing w:before="0" w:beforeAutospacing="0" w:after="0" w:afterAutospacing="0"/>
              <w:ind w:left="0" w:right="0"/>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检测主、备电切换功能；消防电源、备用电源供电可靠性；消防配电线路敷设、保护措施检查</w:t>
            </w:r>
          </w:p>
        </w:tc>
      </w:tr>
      <w:tr w14:paraId="4C242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6" w:hRule="atLeast"/>
          <w:jc w:val="center"/>
        </w:trPr>
        <w:tc>
          <w:tcPr>
            <w:tcW w:w="0" w:type="auto"/>
            <w:vMerge w:val="restart"/>
            <w:noWrap w:val="0"/>
            <w:vAlign w:val="center"/>
          </w:tcPr>
          <w:p w14:paraId="694AC066">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火灾自动报警及联动控制系统</w:t>
            </w:r>
          </w:p>
        </w:tc>
        <w:tc>
          <w:tcPr>
            <w:tcW w:w="0" w:type="auto"/>
            <w:shd w:val="clear" w:color="auto" w:fill="auto"/>
            <w:noWrap w:val="0"/>
            <w:vAlign w:val="center"/>
          </w:tcPr>
          <w:p w14:paraId="03A532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消防控制室（消控室）</w:t>
            </w:r>
          </w:p>
        </w:tc>
        <w:tc>
          <w:tcPr>
            <w:tcW w:w="0" w:type="auto"/>
            <w:shd w:val="clear" w:color="auto" w:fill="auto"/>
            <w:noWrap w:val="0"/>
            <w:vAlign w:val="center"/>
          </w:tcPr>
          <w:p w14:paraId="796CECD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消控室环境、制度台账、值班人员持证上岗情况；设备接地、应急照明、通讯设备；控制室对外疏散通道；中控室联网报警功能；报警控制器、联动控制设备运行状态；CRT 图形显示装置；主机历史故障、火警记录核查；消防控制室档案资料完整性检查</w:t>
            </w:r>
          </w:p>
        </w:tc>
      </w:tr>
      <w:tr w14:paraId="65202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78B1DC76">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shd w:val="clear" w:color="auto" w:fill="auto"/>
            <w:noWrap w:val="0"/>
            <w:vAlign w:val="center"/>
          </w:tcPr>
          <w:p w14:paraId="7BD4A62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火灾报警探测器</w:t>
            </w:r>
          </w:p>
        </w:tc>
        <w:tc>
          <w:tcPr>
            <w:tcW w:w="0" w:type="auto"/>
            <w:shd w:val="clear" w:color="auto" w:fill="auto"/>
            <w:noWrap w:val="0"/>
            <w:vAlign w:val="center"/>
          </w:tcPr>
          <w:p w14:paraId="689F8C4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检测报警功能、地址编码核实；外观、安装位置检查</w:t>
            </w:r>
          </w:p>
        </w:tc>
      </w:tr>
      <w:tr w14:paraId="3EC58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53F39E60">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shd w:val="clear" w:color="auto" w:fill="auto"/>
            <w:noWrap w:val="0"/>
            <w:vAlign w:val="center"/>
          </w:tcPr>
          <w:p w14:paraId="347CEF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手动报警按钮</w:t>
            </w:r>
          </w:p>
        </w:tc>
        <w:tc>
          <w:tcPr>
            <w:tcW w:w="0" w:type="auto"/>
            <w:shd w:val="clear" w:color="auto" w:fill="auto"/>
            <w:noWrap w:val="0"/>
            <w:vAlign w:val="center"/>
          </w:tcPr>
          <w:p w14:paraId="6C3FF80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检测报警功能、地址编码核实；外观、安装牢固性检查</w:t>
            </w:r>
          </w:p>
        </w:tc>
      </w:tr>
      <w:tr w14:paraId="58D25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73A6C18B">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shd w:val="clear" w:color="auto" w:fill="auto"/>
            <w:noWrap w:val="0"/>
            <w:vAlign w:val="center"/>
          </w:tcPr>
          <w:p w14:paraId="05E36D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输入模块</w:t>
            </w:r>
          </w:p>
        </w:tc>
        <w:tc>
          <w:tcPr>
            <w:tcW w:w="0" w:type="auto"/>
            <w:shd w:val="clear" w:color="auto" w:fill="auto"/>
            <w:noWrap w:val="0"/>
            <w:vAlign w:val="center"/>
          </w:tcPr>
          <w:p w14:paraId="45CD7C5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信号测试、故障测试、地址编码核实</w:t>
            </w:r>
          </w:p>
        </w:tc>
      </w:tr>
      <w:tr w14:paraId="1AD87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49246D97">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shd w:val="clear" w:color="auto" w:fill="auto"/>
            <w:noWrap w:val="0"/>
            <w:vAlign w:val="center"/>
          </w:tcPr>
          <w:p w14:paraId="077BE87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输出模块</w:t>
            </w:r>
          </w:p>
        </w:tc>
        <w:tc>
          <w:tcPr>
            <w:tcW w:w="0" w:type="auto"/>
            <w:shd w:val="clear" w:color="auto" w:fill="auto"/>
            <w:noWrap w:val="0"/>
            <w:vAlign w:val="center"/>
          </w:tcPr>
          <w:p w14:paraId="2AE6AE0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联动关系测试、故障测试、地址编码核实</w:t>
            </w:r>
          </w:p>
        </w:tc>
      </w:tr>
      <w:tr w14:paraId="021E3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13D57504">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shd w:val="clear" w:color="auto" w:fill="auto"/>
            <w:noWrap w:val="0"/>
            <w:vAlign w:val="center"/>
          </w:tcPr>
          <w:p w14:paraId="0C9871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输入输出模块（总线）</w:t>
            </w:r>
          </w:p>
        </w:tc>
        <w:tc>
          <w:tcPr>
            <w:tcW w:w="0" w:type="auto"/>
            <w:shd w:val="clear" w:color="auto" w:fill="auto"/>
            <w:noWrap w:val="0"/>
            <w:vAlign w:val="center"/>
          </w:tcPr>
          <w:p w14:paraId="6E61F5D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联动关系测试、反馈信号测试、故障测试、地址编码核实</w:t>
            </w:r>
          </w:p>
        </w:tc>
      </w:tr>
      <w:tr w14:paraId="1F9B1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625E2DC3">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shd w:val="clear" w:color="auto" w:fill="auto"/>
            <w:noWrap w:val="0"/>
            <w:vAlign w:val="center"/>
          </w:tcPr>
          <w:p w14:paraId="0299C42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切换模块（多线）</w:t>
            </w:r>
          </w:p>
        </w:tc>
        <w:tc>
          <w:tcPr>
            <w:tcW w:w="0" w:type="auto"/>
            <w:shd w:val="clear" w:color="auto" w:fill="auto"/>
            <w:noWrap w:val="0"/>
            <w:vAlign w:val="center"/>
          </w:tcPr>
          <w:p w14:paraId="6D403A5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联动关系测试、反馈信号测试、故障测试、地址编码核实</w:t>
            </w:r>
          </w:p>
        </w:tc>
      </w:tr>
      <w:tr w14:paraId="1B07D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057CB65B">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shd w:val="clear" w:color="auto" w:fill="auto"/>
            <w:noWrap w:val="0"/>
            <w:vAlign w:val="center"/>
          </w:tcPr>
          <w:p w14:paraId="3A5617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隔离模块</w:t>
            </w:r>
          </w:p>
        </w:tc>
        <w:tc>
          <w:tcPr>
            <w:tcW w:w="0" w:type="auto"/>
            <w:shd w:val="clear" w:color="auto" w:fill="auto"/>
            <w:noWrap w:val="0"/>
            <w:vAlign w:val="center"/>
          </w:tcPr>
          <w:p w14:paraId="63C4068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保护、隔离功能测试</w:t>
            </w:r>
          </w:p>
        </w:tc>
      </w:tr>
      <w:tr w14:paraId="4D05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0DBF580C">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shd w:val="clear" w:color="auto" w:fill="auto"/>
            <w:noWrap w:val="0"/>
            <w:vAlign w:val="center"/>
          </w:tcPr>
          <w:p w14:paraId="3079AB0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警报装置</w:t>
            </w:r>
          </w:p>
        </w:tc>
        <w:tc>
          <w:tcPr>
            <w:tcW w:w="0" w:type="auto"/>
            <w:shd w:val="clear" w:color="auto" w:fill="auto"/>
            <w:noWrap w:val="0"/>
            <w:vAlign w:val="center"/>
          </w:tcPr>
          <w:p w14:paraId="35810C3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检测报警功能；安装外观检查</w:t>
            </w:r>
          </w:p>
        </w:tc>
      </w:tr>
      <w:tr w14:paraId="4FD7E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2391F7FE">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shd w:val="clear" w:color="auto" w:fill="auto"/>
            <w:noWrap w:val="0"/>
            <w:vAlign w:val="center"/>
          </w:tcPr>
          <w:p w14:paraId="7830DA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报警控制器</w:t>
            </w:r>
          </w:p>
        </w:tc>
        <w:tc>
          <w:tcPr>
            <w:tcW w:w="0" w:type="auto"/>
            <w:shd w:val="clear" w:color="auto" w:fill="auto"/>
            <w:noWrap w:val="0"/>
            <w:vAlign w:val="center"/>
          </w:tcPr>
          <w:p w14:paraId="4EEBEED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检测报警功能、故障报警功能、火警优先功能、打印机打印功能、火灾显示盘和 CRT 显示器的显示功能</w:t>
            </w:r>
          </w:p>
        </w:tc>
      </w:tr>
      <w:tr w14:paraId="359E0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44727BE8">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shd w:val="clear" w:color="auto" w:fill="auto"/>
            <w:noWrap w:val="0"/>
            <w:vAlign w:val="center"/>
          </w:tcPr>
          <w:p w14:paraId="476002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联动控制设备</w:t>
            </w:r>
          </w:p>
        </w:tc>
        <w:tc>
          <w:tcPr>
            <w:tcW w:w="0" w:type="auto"/>
            <w:shd w:val="clear" w:color="auto" w:fill="auto"/>
            <w:noWrap w:val="0"/>
            <w:vAlign w:val="center"/>
          </w:tcPr>
          <w:p w14:paraId="6A72E75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检测联动控制和显示功能；联动逻辑程序核查</w:t>
            </w:r>
          </w:p>
        </w:tc>
      </w:tr>
      <w:tr w14:paraId="3A700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restart"/>
            <w:noWrap w:val="0"/>
            <w:vAlign w:val="center"/>
          </w:tcPr>
          <w:p w14:paraId="668A3FF4">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消防供水</w:t>
            </w:r>
          </w:p>
        </w:tc>
        <w:tc>
          <w:tcPr>
            <w:tcW w:w="0" w:type="auto"/>
            <w:noWrap w:val="0"/>
            <w:vAlign w:val="center"/>
          </w:tcPr>
          <w:p w14:paraId="3B1DE520">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消防水池</w:t>
            </w:r>
          </w:p>
        </w:tc>
        <w:tc>
          <w:tcPr>
            <w:tcW w:w="0" w:type="auto"/>
            <w:shd w:val="clear" w:color="auto" w:fill="auto"/>
            <w:noWrap w:val="0"/>
            <w:vAlign w:val="center"/>
          </w:tcPr>
          <w:p w14:paraId="5EDA12E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核对储水量、检查消防用水保证措施、补水措施；水位显示、溢流、放空设施检查；防护防冻措施检查</w:t>
            </w:r>
          </w:p>
        </w:tc>
      </w:tr>
      <w:tr w14:paraId="1A7E7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4C18A138">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noWrap w:val="0"/>
            <w:vAlign w:val="center"/>
          </w:tcPr>
          <w:p w14:paraId="585F8CC7">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消防水箱</w:t>
            </w:r>
          </w:p>
        </w:tc>
        <w:tc>
          <w:tcPr>
            <w:tcW w:w="0" w:type="auto"/>
            <w:shd w:val="clear" w:color="auto" w:fill="auto"/>
            <w:noWrap w:val="0"/>
            <w:vAlign w:val="center"/>
          </w:tcPr>
          <w:p w14:paraId="4E60009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核对储水量、检查消防用水保证措施、补水措施；水位监测、泄压设施检查</w:t>
            </w:r>
          </w:p>
        </w:tc>
      </w:tr>
      <w:tr w14:paraId="625FC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2FE580E8">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noWrap w:val="0"/>
            <w:vAlign w:val="center"/>
          </w:tcPr>
          <w:p w14:paraId="7C00BA25">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稳（增）压泵</w:t>
            </w:r>
          </w:p>
          <w:p w14:paraId="353095B5">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及气压水罐</w:t>
            </w:r>
          </w:p>
        </w:tc>
        <w:tc>
          <w:tcPr>
            <w:tcW w:w="0" w:type="auto"/>
            <w:shd w:val="clear" w:color="auto" w:fill="auto"/>
            <w:noWrap w:val="0"/>
            <w:vAlign w:val="center"/>
          </w:tcPr>
          <w:p w14:paraId="35DC4F6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检测启泵、停泵时的压力工况、手动 / 自动启动功能检验、切换功能检验；压力仪表校验状态核查</w:t>
            </w:r>
          </w:p>
        </w:tc>
      </w:tr>
      <w:tr w14:paraId="64CAE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restart"/>
            <w:noWrap w:val="0"/>
            <w:vAlign w:val="center"/>
          </w:tcPr>
          <w:p w14:paraId="79532AF8">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消火栓给水系统</w:t>
            </w:r>
          </w:p>
        </w:tc>
        <w:tc>
          <w:tcPr>
            <w:tcW w:w="0" w:type="auto"/>
            <w:noWrap w:val="0"/>
            <w:vAlign w:val="center"/>
          </w:tcPr>
          <w:p w14:paraId="21219A7F">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室内消火栓</w:t>
            </w:r>
          </w:p>
        </w:tc>
        <w:tc>
          <w:tcPr>
            <w:tcW w:w="0" w:type="auto"/>
            <w:noWrap w:val="0"/>
            <w:vAlign w:val="center"/>
          </w:tcPr>
          <w:p w14:paraId="2C1D3FF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检测组件的完整性、动压测试、静压测试及屋顶消火栓出水；栓口、水带水枪配置完整性检查</w:t>
            </w:r>
          </w:p>
        </w:tc>
      </w:tr>
      <w:tr w14:paraId="508FB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60EBDDC0">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noWrap w:val="0"/>
            <w:vAlign w:val="center"/>
          </w:tcPr>
          <w:p w14:paraId="568EBB76">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室外消火栓</w:t>
            </w:r>
          </w:p>
        </w:tc>
        <w:tc>
          <w:tcPr>
            <w:tcW w:w="0" w:type="auto"/>
            <w:noWrap w:val="0"/>
            <w:vAlign w:val="center"/>
          </w:tcPr>
          <w:p w14:paraId="3167089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检测组件的完整性、动压测试、静压测试；周边障碍物清理情况检查</w:t>
            </w:r>
          </w:p>
        </w:tc>
      </w:tr>
      <w:tr w14:paraId="6A316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4AD26510">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noWrap w:val="0"/>
            <w:vAlign w:val="center"/>
          </w:tcPr>
          <w:p w14:paraId="27DC49B0">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启泵按钮</w:t>
            </w:r>
          </w:p>
        </w:tc>
        <w:tc>
          <w:tcPr>
            <w:tcW w:w="0" w:type="auto"/>
            <w:noWrap w:val="0"/>
            <w:vAlign w:val="center"/>
          </w:tcPr>
          <w:p w14:paraId="2F38029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检测远距离启泵功能、地址编码核实；外观完好性检查</w:t>
            </w:r>
          </w:p>
        </w:tc>
      </w:tr>
      <w:tr w14:paraId="5232F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2D37AA7D">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noWrap w:val="0"/>
            <w:vAlign w:val="center"/>
          </w:tcPr>
          <w:p w14:paraId="171B9407">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消防泵</w:t>
            </w:r>
          </w:p>
        </w:tc>
        <w:tc>
          <w:tcPr>
            <w:tcW w:w="0" w:type="auto"/>
            <w:noWrap w:val="0"/>
            <w:vAlign w:val="center"/>
          </w:tcPr>
          <w:p w14:paraId="38A8931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检测启泵和主备泵切换功能、手动 / 自动启动功能检验、切换功能检验、联动功能检验；泵房环境、阀门状态检查</w:t>
            </w:r>
          </w:p>
        </w:tc>
      </w:tr>
      <w:tr w14:paraId="4F258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392EEF7E">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noWrap w:val="0"/>
            <w:vAlign w:val="center"/>
          </w:tcPr>
          <w:p w14:paraId="54F5CC1B">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水泵</w:t>
            </w:r>
            <w:r>
              <w:rPr>
                <w:rFonts w:hint="eastAsia" w:ascii="仿宋" w:hAnsi="仿宋" w:eastAsia="仿宋" w:cs="仿宋"/>
                <w:color w:val="000000"/>
                <w:kern w:val="0"/>
                <w:sz w:val="22"/>
                <w:szCs w:val="22"/>
                <w:lang w:eastAsia="zh-CN" w:bidi="ar"/>
              </w:rPr>
              <w:t>接</w:t>
            </w:r>
            <w:r>
              <w:rPr>
                <w:rFonts w:hint="eastAsia" w:ascii="仿宋" w:hAnsi="仿宋" w:eastAsia="仿宋" w:cs="仿宋"/>
                <w:color w:val="000000"/>
                <w:kern w:val="0"/>
                <w:sz w:val="22"/>
                <w:szCs w:val="22"/>
                <w:lang w:bidi="ar"/>
              </w:rPr>
              <w:t>合器</w:t>
            </w:r>
          </w:p>
        </w:tc>
        <w:tc>
          <w:tcPr>
            <w:tcW w:w="0" w:type="auto"/>
            <w:noWrap w:val="0"/>
            <w:vAlign w:val="center"/>
          </w:tcPr>
          <w:p w14:paraId="7BAA57C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检测消防车供水功能，安装质量、安装位置、配套阀门检查；接口配件完整，无遮挡</w:t>
            </w:r>
          </w:p>
        </w:tc>
      </w:tr>
      <w:tr w14:paraId="10EB6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restart"/>
            <w:noWrap w:val="0"/>
            <w:vAlign w:val="center"/>
          </w:tcPr>
          <w:p w14:paraId="16BD8C01">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自动喷水系统</w:t>
            </w:r>
          </w:p>
        </w:tc>
        <w:tc>
          <w:tcPr>
            <w:tcW w:w="0" w:type="auto"/>
            <w:noWrap w:val="0"/>
            <w:vAlign w:val="center"/>
          </w:tcPr>
          <w:p w14:paraId="2F51FB08">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报警阀组</w:t>
            </w:r>
          </w:p>
        </w:tc>
        <w:tc>
          <w:tcPr>
            <w:tcW w:w="0" w:type="auto"/>
            <w:noWrap w:val="0"/>
            <w:vAlign w:val="center"/>
          </w:tcPr>
          <w:p w14:paraId="7485BF9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检测放水阀放水及压力开关动作信号、联动泵试验、水力警铃试验；阀门启闭状态、标识检查</w:t>
            </w:r>
          </w:p>
        </w:tc>
      </w:tr>
      <w:tr w14:paraId="2083C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29F1BB3B">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noWrap w:val="0"/>
            <w:vAlign w:val="center"/>
          </w:tcPr>
          <w:p w14:paraId="131819FC">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末端试水装置</w:t>
            </w:r>
          </w:p>
        </w:tc>
        <w:tc>
          <w:tcPr>
            <w:tcW w:w="0" w:type="auto"/>
            <w:noWrap w:val="0"/>
            <w:vAlign w:val="center"/>
          </w:tcPr>
          <w:p w14:paraId="51C3D77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检测末端放水及压力开关动作信号、水力警铃试验；安装、标识检查</w:t>
            </w:r>
          </w:p>
        </w:tc>
      </w:tr>
      <w:tr w14:paraId="216FC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022E4FF0">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noWrap w:val="0"/>
            <w:vAlign w:val="center"/>
          </w:tcPr>
          <w:p w14:paraId="1750750E">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水流指示器</w:t>
            </w:r>
          </w:p>
        </w:tc>
        <w:tc>
          <w:tcPr>
            <w:tcW w:w="0" w:type="auto"/>
            <w:noWrap w:val="0"/>
            <w:vAlign w:val="center"/>
          </w:tcPr>
          <w:p w14:paraId="2387897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核对反馈信号、地址编码核实、联动泵试验；外观安装检查</w:t>
            </w:r>
          </w:p>
        </w:tc>
      </w:tr>
      <w:tr w14:paraId="76480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5FD9C13D">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noWrap w:val="0"/>
            <w:vAlign w:val="center"/>
          </w:tcPr>
          <w:p w14:paraId="78977BA4">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喷淋泵</w:t>
            </w:r>
          </w:p>
        </w:tc>
        <w:tc>
          <w:tcPr>
            <w:tcW w:w="0" w:type="auto"/>
            <w:noWrap w:val="0"/>
            <w:vAlign w:val="center"/>
          </w:tcPr>
          <w:p w14:paraId="418BEF7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检测启泵和主备泵切换功能、手动 / 自动启动功能检验、切换功能检验、联动功能检验；泵房环境检查</w:t>
            </w:r>
          </w:p>
        </w:tc>
      </w:tr>
      <w:tr w14:paraId="07B2C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717A5DCE">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noWrap w:val="0"/>
            <w:vAlign w:val="center"/>
          </w:tcPr>
          <w:p w14:paraId="323C5A38">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喷淋结合器</w:t>
            </w:r>
          </w:p>
        </w:tc>
        <w:tc>
          <w:tcPr>
            <w:tcW w:w="0" w:type="auto"/>
            <w:noWrap w:val="0"/>
            <w:vAlign w:val="center"/>
          </w:tcPr>
          <w:p w14:paraId="4EEF6F1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检测消防车供水功能，安装质量、安装位置、配套阀门检查；无遮挡，配件齐全</w:t>
            </w:r>
          </w:p>
        </w:tc>
      </w:tr>
      <w:tr w14:paraId="196C5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restart"/>
            <w:noWrap w:val="0"/>
            <w:vAlign w:val="top"/>
          </w:tcPr>
          <w:p w14:paraId="1315F126">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机械加压补、送风系统</w:t>
            </w:r>
          </w:p>
        </w:tc>
        <w:tc>
          <w:tcPr>
            <w:tcW w:w="0" w:type="auto"/>
            <w:noWrap w:val="0"/>
            <w:vAlign w:val="center"/>
          </w:tcPr>
          <w:p w14:paraId="6D131B90">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风机</w:t>
            </w:r>
          </w:p>
        </w:tc>
        <w:tc>
          <w:tcPr>
            <w:tcW w:w="0" w:type="auto"/>
            <w:noWrap w:val="0"/>
            <w:vAlign w:val="center"/>
          </w:tcPr>
          <w:p w14:paraId="66996D5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运行检查、手动 / 自动功能检验、联动测试；风机房环境检查</w:t>
            </w:r>
          </w:p>
        </w:tc>
      </w:tr>
      <w:tr w14:paraId="2E996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34904A57">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noWrap w:val="0"/>
            <w:vAlign w:val="center"/>
          </w:tcPr>
          <w:p w14:paraId="506F02D7">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送风口</w:t>
            </w:r>
          </w:p>
        </w:tc>
        <w:tc>
          <w:tcPr>
            <w:tcW w:w="0" w:type="auto"/>
            <w:noWrap w:val="0"/>
            <w:vAlign w:val="center"/>
          </w:tcPr>
          <w:p w14:paraId="132C9E5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手动开启与复位检验、联动测试、风速测定、送风效果试验；风口无堵塞遮挡检查</w:t>
            </w:r>
          </w:p>
        </w:tc>
      </w:tr>
      <w:tr w14:paraId="2BBC8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restart"/>
            <w:noWrap w:val="0"/>
            <w:vAlign w:val="center"/>
          </w:tcPr>
          <w:p w14:paraId="634C1B63">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机械排烟系统</w:t>
            </w:r>
          </w:p>
        </w:tc>
        <w:tc>
          <w:tcPr>
            <w:tcW w:w="0" w:type="auto"/>
            <w:noWrap w:val="0"/>
            <w:vAlign w:val="center"/>
          </w:tcPr>
          <w:p w14:paraId="1B347026">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风机</w:t>
            </w:r>
          </w:p>
        </w:tc>
        <w:tc>
          <w:tcPr>
            <w:tcW w:w="0" w:type="auto"/>
            <w:noWrap w:val="0"/>
            <w:vAlign w:val="center"/>
          </w:tcPr>
          <w:p w14:paraId="704196C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运行检查、手动 / 自动功能检验、联动测试；风机房环境检查</w:t>
            </w:r>
          </w:p>
        </w:tc>
      </w:tr>
      <w:tr w14:paraId="45CBE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top"/>
          </w:tcPr>
          <w:p w14:paraId="1A835052">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noWrap w:val="0"/>
            <w:vAlign w:val="center"/>
          </w:tcPr>
          <w:p w14:paraId="246BCF48">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排烟阀、排烟口、</w:t>
            </w:r>
          </w:p>
          <w:p w14:paraId="45E34077">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电动排烟窗</w:t>
            </w:r>
          </w:p>
        </w:tc>
        <w:tc>
          <w:tcPr>
            <w:tcW w:w="0" w:type="auto"/>
            <w:noWrap w:val="0"/>
            <w:vAlign w:val="center"/>
          </w:tcPr>
          <w:p w14:paraId="6BCA704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手动开启与复位检验、联动测试、风速测定、排烟效果试验；构件完好性检查</w:t>
            </w:r>
          </w:p>
        </w:tc>
      </w:tr>
      <w:tr w14:paraId="3D0DE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shd w:val="clear" w:color="auto" w:fill="auto"/>
            <w:noWrap w:val="0"/>
            <w:vAlign w:val="center"/>
          </w:tcPr>
          <w:p w14:paraId="279E4A7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通风排烟风管</w:t>
            </w:r>
          </w:p>
        </w:tc>
        <w:tc>
          <w:tcPr>
            <w:tcW w:w="0" w:type="auto"/>
            <w:noWrap w:val="0"/>
            <w:vAlign w:val="center"/>
          </w:tcPr>
          <w:p w14:paraId="53A32AE3">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风管安装</w:t>
            </w:r>
          </w:p>
        </w:tc>
        <w:tc>
          <w:tcPr>
            <w:tcW w:w="0" w:type="auto"/>
            <w:shd w:val="clear" w:color="auto" w:fill="auto"/>
            <w:noWrap w:val="0"/>
            <w:vAlign w:val="center"/>
          </w:tcPr>
          <w:p w14:paraId="2FEF1DD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安装质量、管道的固定、有无孔洞伤痕；风管防火隔热、封堵、支吊架检查</w:t>
            </w:r>
          </w:p>
        </w:tc>
      </w:tr>
      <w:tr w14:paraId="09F90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1" w:hRule="atLeast"/>
          <w:jc w:val="center"/>
        </w:trPr>
        <w:tc>
          <w:tcPr>
            <w:tcW w:w="0" w:type="auto"/>
            <w:vMerge w:val="restart"/>
            <w:noWrap w:val="0"/>
            <w:vAlign w:val="center"/>
          </w:tcPr>
          <w:p w14:paraId="52C5C644">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气体灭火系统</w:t>
            </w:r>
          </w:p>
        </w:tc>
        <w:tc>
          <w:tcPr>
            <w:tcW w:w="0" w:type="auto"/>
            <w:vMerge w:val="restart"/>
            <w:noWrap w:val="0"/>
            <w:vAlign w:val="center"/>
          </w:tcPr>
          <w:p w14:paraId="6A73FF15">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气体灭火系统</w:t>
            </w:r>
          </w:p>
        </w:tc>
        <w:tc>
          <w:tcPr>
            <w:tcW w:w="0" w:type="auto"/>
            <w:shd w:val="clear" w:color="auto" w:fill="auto"/>
            <w:noWrap w:val="0"/>
            <w:vAlign w:val="center"/>
          </w:tcPr>
          <w:p w14:paraId="5BD4068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1、设备、组件、灭火剂输送管道、喷嘴及防护区的设置和安装状况；</w:t>
            </w:r>
          </w:p>
        </w:tc>
      </w:tr>
      <w:tr w14:paraId="78AB3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1" w:hRule="atLeast"/>
          <w:jc w:val="center"/>
        </w:trPr>
        <w:tc>
          <w:tcPr>
            <w:tcW w:w="0" w:type="auto"/>
            <w:vMerge w:val="continue"/>
            <w:noWrap w:val="0"/>
            <w:vAlign w:val="center"/>
          </w:tcPr>
          <w:p w14:paraId="097C4661">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vMerge w:val="continue"/>
            <w:noWrap w:val="0"/>
            <w:vAlign w:val="center"/>
          </w:tcPr>
          <w:p w14:paraId="4546E104">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shd w:val="clear" w:color="auto" w:fill="auto"/>
            <w:noWrap w:val="0"/>
            <w:vAlign w:val="center"/>
          </w:tcPr>
          <w:p w14:paraId="4D3D44D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2、模拟联动试验，核查发声发光报警程序，切断火场电源、自动启动、延时功能、防火阀和排风机、喷射过程、气体释放指示灯等动作是否正常；防护区开口、泄压口检查</w:t>
            </w:r>
          </w:p>
        </w:tc>
      </w:tr>
      <w:tr w14:paraId="3C33E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noWrap w:val="0"/>
            <w:vAlign w:val="center"/>
          </w:tcPr>
          <w:p w14:paraId="29D1AF42">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泡沫灭火系统</w:t>
            </w:r>
          </w:p>
        </w:tc>
        <w:tc>
          <w:tcPr>
            <w:tcW w:w="0" w:type="auto"/>
            <w:noWrap w:val="0"/>
            <w:vAlign w:val="center"/>
          </w:tcPr>
          <w:p w14:paraId="7F99AA8E">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泡沫灭火系统</w:t>
            </w:r>
          </w:p>
        </w:tc>
        <w:tc>
          <w:tcPr>
            <w:tcW w:w="0" w:type="auto"/>
            <w:shd w:val="clear" w:color="auto" w:fill="auto"/>
            <w:noWrap w:val="0"/>
            <w:vAlign w:val="center"/>
          </w:tcPr>
          <w:p w14:paraId="49C33E5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检测泡沫液存储量、混合比例、组件的完整性、灭火剂标志检查；液位计、呼吸阀、安全阀及压力表状态检查；泡沫液有效期核查</w:t>
            </w:r>
          </w:p>
        </w:tc>
      </w:tr>
      <w:tr w14:paraId="440D8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restart"/>
            <w:noWrap w:val="0"/>
            <w:vAlign w:val="center"/>
          </w:tcPr>
          <w:p w14:paraId="7D8F01B3">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应急照明</w:t>
            </w:r>
            <w:r>
              <w:rPr>
                <w:rFonts w:hint="eastAsia" w:ascii="仿宋" w:hAnsi="仿宋" w:eastAsia="仿宋" w:cs="仿宋"/>
                <w:color w:val="000000"/>
                <w:kern w:val="0"/>
                <w:sz w:val="22"/>
                <w:szCs w:val="22"/>
                <w:lang w:val="en-US" w:eastAsia="zh-CN" w:bidi="ar"/>
              </w:rPr>
              <w:t>和</w:t>
            </w:r>
            <w:r>
              <w:rPr>
                <w:rFonts w:hint="eastAsia" w:ascii="仿宋" w:hAnsi="仿宋" w:eastAsia="仿宋" w:cs="仿宋"/>
                <w:color w:val="000000"/>
                <w:kern w:val="0"/>
                <w:sz w:val="22"/>
                <w:szCs w:val="22"/>
                <w:lang w:bidi="ar"/>
              </w:rPr>
              <w:t>疏散指示</w:t>
            </w:r>
          </w:p>
        </w:tc>
        <w:tc>
          <w:tcPr>
            <w:tcW w:w="0" w:type="auto"/>
            <w:shd w:val="clear" w:color="auto" w:fill="auto"/>
            <w:noWrap w:val="0"/>
            <w:vAlign w:val="center"/>
          </w:tcPr>
          <w:p w14:paraId="41CD198B">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val="en-US" w:eastAsia="zh-CN" w:bidi="ar"/>
              </w:rPr>
            </w:pPr>
            <w:r>
              <w:rPr>
                <w:rFonts w:hint="eastAsia" w:ascii="仿宋" w:hAnsi="仿宋" w:eastAsia="仿宋" w:cs="仿宋"/>
                <w:color w:val="000000"/>
                <w:kern w:val="0"/>
                <w:sz w:val="22"/>
                <w:szCs w:val="22"/>
                <w:lang w:bidi="ar"/>
              </w:rPr>
              <w:t>应急照明</w:t>
            </w:r>
          </w:p>
        </w:tc>
        <w:tc>
          <w:tcPr>
            <w:tcW w:w="0" w:type="auto"/>
            <w:noWrap w:val="0"/>
            <w:vAlign w:val="center"/>
          </w:tcPr>
          <w:p w14:paraId="4B030DE5">
            <w:pPr>
              <w:keepNext w:val="0"/>
              <w:keepLines w:val="0"/>
              <w:widowControl/>
              <w:suppressLineNumbers w:val="0"/>
              <w:spacing w:before="0" w:beforeAutospacing="0" w:after="0" w:afterAutospacing="0"/>
              <w:ind w:left="0" w:right="0"/>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检测切断正常供电，测量照度，核对时长。</w:t>
            </w:r>
          </w:p>
        </w:tc>
      </w:tr>
      <w:tr w14:paraId="63C00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44C3B252">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shd w:val="clear" w:color="auto" w:fill="auto"/>
            <w:noWrap w:val="0"/>
            <w:vAlign w:val="center"/>
          </w:tcPr>
          <w:p w14:paraId="0D70E622">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val="en-US" w:eastAsia="zh-CN" w:bidi="ar"/>
              </w:rPr>
            </w:pPr>
            <w:r>
              <w:rPr>
                <w:rFonts w:hint="eastAsia" w:ascii="仿宋" w:hAnsi="仿宋" w:eastAsia="仿宋" w:cs="仿宋"/>
                <w:color w:val="000000"/>
                <w:kern w:val="0"/>
                <w:sz w:val="22"/>
                <w:szCs w:val="22"/>
                <w:lang w:bidi="ar"/>
              </w:rPr>
              <w:t>疏散指示标志</w:t>
            </w:r>
          </w:p>
        </w:tc>
        <w:tc>
          <w:tcPr>
            <w:tcW w:w="0" w:type="auto"/>
            <w:noWrap w:val="0"/>
            <w:vAlign w:val="center"/>
          </w:tcPr>
          <w:p w14:paraId="2069732D">
            <w:pPr>
              <w:keepNext w:val="0"/>
              <w:keepLines w:val="0"/>
              <w:widowControl/>
              <w:suppressLineNumbers w:val="0"/>
              <w:spacing w:before="0" w:beforeAutospacing="0" w:after="0" w:afterAutospacing="0"/>
              <w:ind w:left="0" w:right="0"/>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检测切断正常供电，测量照度，核对时长。</w:t>
            </w:r>
          </w:p>
        </w:tc>
      </w:tr>
      <w:tr w14:paraId="7AB1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restart"/>
            <w:noWrap w:val="0"/>
            <w:vAlign w:val="center"/>
          </w:tcPr>
          <w:p w14:paraId="77961AA9">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应急广播系统</w:t>
            </w:r>
          </w:p>
        </w:tc>
        <w:tc>
          <w:tcPr>
            <w:tcW w:w="0" w:type="auto"/>
            <w:shd w:val="clear" w:color="auto" w:fill="auto"/>
            <w:noWrap w:val="0"/>
            <w:vAlign w:val="center"/>
          </w:tcPr>
          <w:p w14:paraId="0B095C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扩音主机</w:t>
            </w:r>
          </w:p>
        </w:tc>
        <w:tc>
          <w:tcPr>
            <w:tcW w:w="0" w:type="auto"/>
            <w:shd w:val="clear" w:color="auto" w:fill="auto"/>
            <w:noWrap w:val="0"/>
            <w:vAlign w:val="center"/>
          </w:tcPr>
          <w:p w14:paraId="5538764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检测联动启动和强制切换功能；广播音源测试</w:t>
            </w:r>
          </w:p>
        </w:tc>
      </w:tr>
      <w:tr w14:paraId="3D585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45FD9AD2">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noWrap w:val="0"/>
            <w:vAlign w:val="center"/>
          </w:tcPr>
          <w:p w14:paraId="24C565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扬声器</w:t>
            </w:r>
          </w:p>
        </w:tc>
        <w:tc>
          <w:tcPr>
            <w:tcW w:w="0" w:type="auto"/>
            <w:noWrap w:val="0"/>
            <w:vAlign w:val="center"/>
          </w:tcPr>
          <w:p w14:paraId="0B89559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检测音量、播放清晰度；外观完好检查</w:t>
            </w:r>
          </w:p>
        </w:tc>
      </w:tr>
      <w:tr w14:paraId="4149C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noWrap w:val="0"/>
            <w:vAlign w:val="center"/>
          </w:tcPr>
          <w:p w14:paraId="4A0D4E58">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消防通信</w:t>
            </w:r>
          </w:p>
        </w:tc>
        <w:tc>
          <w:tcPr>
            <w:tcW w:w="0" w:type="auto"/>
            <w:noWrap w:val="0"/>
            <w:vAlign w:val="center"/>
          </w:tcPr>
          <w:p w14:paraId="7D300E00">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消防通信</w:t>
            </w:r>
          </w:p>
        </w:tc>
        <w:tc>
          <w:tcPr>
            <w:tcW w:w="0" w:type="auto"/>
            <w:shd w:val="clear" w:color="auto" w:fill="auto"/>
            <w:noWrap w:val="0"/>
            <w:vAlign w:val="center"/>
          </w:tcPr>
          <w:p w14:paraId="31E30A0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检测消防专用电话通话质量；控制室与泵房、配电室等重要部位通话测试</w:t>
            </w:r>
          </w:p>
        </w:tc>
      </w:tr>
      <w:tr w14:paraId="366B2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restart"/>
            <w:noWrap w:val="0"/>
            <w:vAlign w:val="center"/>
          </w:tcPr>
          <w:p w14:paraId="6B81CCAF">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防火分隔设施</w:t>
            </w:r>
          </w:p>
        </w:tc>
        <w:tc>
          <w:tcPr>
            <w:tcW w:w="0" w:type="auto"/>
            <w:noWrap w:val="0"/>
            <w:vAlign w:val="center"/>
          </w:tcPr>
          <w:p w14:paraId="02D8A4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防火门</w:t>
            </w:r>
          </w:p>
        </w:tc>
        <w:tc>
          <w:tcPr>
            <w:tcW w:w="0" w:type="auto"/>
            <w:noWrap w:val="0"/>
            <w:vAlign w:val="center"/>
          </w:tcPr>
          <w:p w14:paraId="01B5341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外观、安装、传动机构检查；手动和联动启闭功能检测；闭门器、顺序器完好性检查</w:t>
            </w:r>
          </w:p>
        </w:tc>
      </w:tr>
      <w:tr w14:paraId="3C30A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39A31F98">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noWrap w:val="0"/>
            <w:vAlign w:val="center"/>
          </w:tcPr>
          <w:p w14:paraId="16453C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防火卷帘</w:t>
            </w:r>
          </w:p>
        </w:tc>
        <w:tc>
          <w:tcPr>
            <w:tcW w:w="0" w:type="auto"/>
            <w:noWrap w:val="0"/>
            <w:vAlign w:val="center"/>
          </w:tcPr>
          <w:p w14:paraId="250725E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检测手动、机械应急和自动控制降落功能；联动逻辑、下降到位反馈信号测试</w:t>
            </w:r>
          </w:p>
        </w:tc>
      </w:tr>
      <w:tr w14:paraId="12145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14556B23">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noWrap w:val="0"/>
            <w:vAlign w:val="center"/>
          </w:tcPr>
          <w:p w14:paraId="1F3161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电动防火阀</w:t>
            </w:r>
          </w:p>
        </w:tc>
        <w:tc>
          <w:tcPr>
            <w:tcW w:w="0" w:type="auto"/>
            <w:noWrap w:val="0"/>
            <w:vAlign w:val="center"/>
          </w:tcPr>
          <w:p w14:paraId="2A5F4BB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检测手动、联动关闭功能；复位功能检查</w:t>
            </w:r>
          </w:p>
        </w:tc>
      </w:tr>
      <w:tr w14:paraId="3B811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1D5C2FC1">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noWrap w:val="0"/>
            <w:vAlign w:val="center"/>
          </w:tcPr>
          <w:p w14:paraId="453649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挡烟垂壁</w:t>
            </w:r>
          </w:p>
        </w:tc>
        <w:tc>
          <w:tcPr>
            <w:tcW w:w="0" w:type="auto"/>
            <w:noWrap w:val="0"/>
            <w:vAlign w:val="center"/>
          </w:tcPr>
          <w:p w14:paraId="1795911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下垂尺寸测量；手动、联动降落功能检查，外观完整性检查</w:t>
            </w:r>
          </w:p>
        </w:tc>
      </w:tr>
      <w:tr w14:paraId="067DD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noWrap w:val="0"/>
            <w:vAlign w:val="center"/>
          </w:tcPr>
          <w:p w14:paraId="1259BAED">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消防电梯</w:t>
            </w:r>
          </w:p>
        </w:tc>
        <w:tc>
          <w:tcPr>
            <w:tcW w:w="0" w:type="auto"/>
            <w:noWrap w:val="0"/>
            <w:vAlign w:val="center"/>
          </w:tcPr>
          <w:p w14:paraId="05907FDD">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消防电梯</w:t>
            </w:r>
          </w:p>
        </w:tc>
        <w:tc>
          <w:tcPr>
            <w:tcW w:w="0" w:type="auto"/>
            <w:shd w:val="clear" w:color="auto" w:fill="auto"/>
            <w:noWrap w:val="0"/>
            <w:vAlign w:val="center"/>
          </w:tcPr>
          <w:p w14:paraId="39B7A83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检测按钮迫降和联动控制功能、首层消防专用按钮功能；电梯人工操作、联动控制、远程迫降功能检验；消防电梯排水设施检查</w:t>
            </w:r>
          </w:p>
        </w:tc>
      </w:tr>
      <w:tr w14:paraId="658F3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shd w:val="clear" w:color="auto" w:fill="auto"/>
            <w:noWrap w:val="0"/>
            <w:vAlign w:val="center"/>
          </w:tcPr>
          <w:p w14:paraId="0C05184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灭火器配置</w:t>
            </w:r>
          </w:p>
        </w:tc>
        <w:tc>
          <w:tcPr>
            <w:tcW w:w="0" w:type="auto"/>
            <w:shd w:val="clear" w:color="auto" w:fill="auto"/>
            <w:noWrap w:val="0"/>
            <w:vAlign w:val="center"/>
          </w:tcPr>
          <w:p w14:paraId="007C14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灭火器</w:t>
            </w:r>
          </w:p>
        </w:tc>
        <w:tc>
          <w:tcPr>
            <w:tcW w:w="0" w:type="auto"/>
            <w:shd w:val="clear" w:color="auto" w:fill="auto"/>
            <w:noWrap w:val="0"/>
            <w:vAlign w:val="center"/>
          </w:tcPr>
          <w:p w14:paraId="090DE4C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核对选型、压力、有效期；摆放位置、数量、外观质量检查</w:t>
            </w:r>
          </w:p>
        </w:tc>
      </w:tr>
      <w:tr w14:paraId="352F2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1" w:hRule="atLeast"/>
          <w:jc w:val="center"/>
        </w:trPr>
        <w:tc>
          <w:tcPr>
            <w:tcW w:w="0" w:type="auto"/>
            <w:vMerge w:val="restart"/>
            <w:noWrap w:val="0"/>
            <w:vAlign w:val="center"/>
          </w:tcPr>
          <w:p w14:paraId="56BB8E65">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疏散相关设施</w:t>
            </w:r>
          </w:p>
        </w:tc>
        <w:tc>
          <w:tcPr>
            <w:tcW w:w="0" w:type="auto"/>
            <w:noWrap w:val="0"/>
            <w:vAlign w:val="center"/>
          </w:tcPr>
          <w:p w14:paraId="410FF9A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门禁系统</w:t>
            </w:r>
          </w:p>
        </w:tc>
        <w:tc>
          <w:tcPr>
            <w:tcW w:w="0" w:type="auto"/>
            <w:noWrap w:val="0"/>
            <w:vAlign w:val="center"/>
          </w:tcPr>
          <w:p w14:paraId="11551A7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手动、自动测试火灾状态下门禁断电解锁功能；联动反馈信号核查</w:t>
            </w:r>
          </w:p>
        </w:tc>
      </w:tr>
      <w:tr w14:paraId="4F52F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1" w:hRule="atLeast"/>
          <w:jc w:val="center"/>
        </w:trPr>
        <w:tc>
          <w:tcPr>
            <w:tcW w:w="0" w:type="auto"/>
            <w:vMerge w:val="continue"/>
            <w:noWrap w:val="0"/>
            <w:vAlign w:val="center"/>
          </w:tcPr>
          <w:p w14:paraId="7FB69CB1">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noWrap w:val="0"/>
            <w:vAlign w:val="center"/>
          </w:tcPr>
          <w:p w14:paraId="4967BFF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非消防电源</w:t>
            </w:r>
          </w:p>
        </w:tc>
        <w:tc>
          <w:tcPr>
            <w:tcW w:w="0" w:type="auto"/>
            <w:noWrap w:val="0"/>
            <w:vAlign w:val="center"/>
          </w:tcPr>
          <w:p w14:paraId="0D34F50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火灾状态非消防电源强切功能测试；联动逻辑核查</w:t>
            </w:r>
          </w:p>
        </w:tc>
      </w:tr>
      <w:tr w14:paraId="51540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4" w:hRule="atLeast"/>
          <w:jc w:val="center"/>
        </w:trPr>
        <w:tc>
          <w:tcPr>
            <w:tcW w:w="0" w:type="auto"/>
            <w:vMerge w:val="restart"/>
            <w:noWrap w:val="0"/>
            <w:vAlign w:val="center"/>
          </w:tcPr>
          <w:p w14:paraId="7C48204E">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室外消防安全条件</w:t>
            </w:r>
          </w:p>
        </w:tc>
        <w:tc>
          <w:tcPr>
            <w:tcW w:w="0" w:type="auto"/>
            <w:noWrap w:val="0"/>
            <w:vAlign w:val="center"/>
          </w:tcPr>
          <w:p w14:paraId="72EDCA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消防车道</w:t>
            </w:r>
          </w:p>
        </w:tc>
        <w:tc>
          <w:tcPr>
            <w:tcW w:w="0" w:type="auto"/>
            <w:noWrap w:val="0"/>
            <w:vAlign w:val="center"/>
          </w:tcPr>
          <w:p w14:paraId="4DF58BB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车道净宽、净高、转弯半径检查；是否存在占用、堵塞、封闭；车道标识标线完整性检查</w:t>
            </w:r>
          </w:p>
        </w:tc>
      </w:tr>
      <w:tr w14:paraId="7247D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4" w:hRule="atLeast"/>
          <w:jc w:val="center"/>
        </w:trPr>
        <w:tc>
          <w:tcPr>
            <w:tcW w:w="0" w:type="auto"/>
            <w:vMerge w:val="continue"/>
            <w:noWrap w:val="0"/>
            <w:vAlign w:val="center"/>
          </w:tcPr>
          <w:p w14:paraId="47DD9B3C">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noWrap w:val="0"/>
            <w:vAlign w:val="center"/>
          </w:tcPr>
          <w:p w14:paraId="29B5D17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消防车登高操作场地</w:t>
            </w:r>
          </w:p>
        </w:tc>
        <w:tc>
          <w:tcPr>
            <w:tcW w:w="0" w:type="auto"/>
            <w:noWrap w:val="0"/>
            <w:vAlign w:val="center"/>
          </w:tcPr>
          <w:p w14:paraId="26F8947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场地尺寸、承载能力；有无障碍物占用；登高场地标识、警示标志检查</w:t>
            </w:r>
          </w:p>
        </w:tc>
      </w:tr>
      <w:tr w14:paraId="17E7C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4" w:hRule="atLeast"/>
          <w:jc w:val="center"/>
        </w:trPr>
        <w:tc>
          <w:tcPr>
            <w:tcW w:w="0" w:type="auto"/>
            <w:vMerge w:val="continue"/>
            <w:noWrap w:val="0"/>
            <w:vAlign w:val="center"/>
          </w:tcPr>
          <w:p w14:paraId="3EB2818D">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noWrap w:val="0"/>
            <w:vAlign w:val="center"/>
          </w:tcPr>
          <w:p w14:paraId="23E2D8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消防救援口（窗）</w:t>
            </w:r>
          </w:p>
        </w:tc>
        <w:tc>
          <w:tcPr>
            <w:tcW w:w="0" w:type="auto"/>
            <w:noWrap w:val="0"/>
            <w:vAlign w:val="center"/>
          </w:tcPr>
          <w:p w14:paraId="361F4E1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救援窗口位置、尺寸、标识；窗口是否被遮挡；开启便利性检查</w:t>
            </w:r>
          </w:p>
        </w:tc>
      </w:tr>
      <w:tr w14:paraId="2CEB6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 w:hRule="atLeast"/>
          <w:jc w:val="center"/>
        </w:trPr>
        <w:tc>
          <w:tcPr>
            <w:tcW w:w="0" w:type="auto"/>
            <w:vMerge w:val="restart"/>
            <w:noWrap w:val="0"/>
            <w:vAlign w:val="center"/>
          </w:tcPr>
          <w:p w14:paraId="0A4990A1">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重点场所消防安全</w:t>
            </w:r>
          </w:p>
        </w:tc>
        <w:tc>
          <w:tcPr>
            <w:tcW w:w="0" w:type="auto"/>
            <w:noWrap w:val="0"/>
            <w:vAlign w:val="center"/>
          </w:tcPr>
          <w:p w14:paraId="4BE73B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微型消防站</w:t>
            </w:r>
          </w:p>
        </w:tc>
        <w:tc>
          <w:tcPr>
            <w:tcW w:w="0" w:type="auto"/>
            <w:noWrap w:val="0"/>
            <w:vAlign w:val="center"/>
          </w:tcPr>
          <w:p w14:paraId="70F0EFF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人员配备、岗位职责；消防器材装备配置完整有效性；器材摆放、台账制度；接处警响应流程检查</w:t>
            </w:r>
          </w:p>
        </w:tc>
      </w:tr>
      <w:tr w14:paraId="3D134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 w:hRule="atLeast"/>
          <w:jc w:val="center"/>
        </w:trPr>
        <w:tc>
          <w:tcPr>
            <w:tcW w:w="0" w:type="auto"/>
            <w:vMerge w:val="continue"/>
            <w:noWrap w:val="0"/>
            <w:vAlign w:val="center"/>
          </w:tcPr>
          <w:p w14:paraId="2F1FA6D3">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noWrap w:val="0"/>
            <w:vAlign w:val="center"/>
          </w:tcPr>
          <w:p w14:paraId="105B93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危化品仓库（危险化学品存放区域）</w:t>
            </w:r>
          </w:p>
        </w:tc>
        <w:tc>
          <w:tcPr>
            <w:tcW w:w="0" w:type="auto"/>
            <w:noWrap w:val="0"/>
            <w:vAlign w:val="center"/>
          </w:tcPr>
          <w:p w14:paraId="43082F0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危化品分类存放、通风防爆措施；电气防爆、防静电接地；消防器材配置；防火分隔；危险化学品台账；泄漏处置物资；严禁混存情况检查；可燃气体探测报警装置功能测试</w:t>
            </w:r>
          </w:p>
        </w:tc>
      </w:tr>
      <w:tr w14:paraId="17AED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 w:hRule="atLeast"/>
          <w:jc w:val="center"/>
        </w:trPr>
        <w:tc>
          <w:tcPr>
            <w:tcW w:w="0" w:type="auto"/>
            <w:vMerge w:val="continue"/>
            <w:noWrap w:val="0"/>
            <w:vAlign w:val="center"/>
          </w:tcPr>
          <w:p w14:paraId="175FC5E7">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noWrap w:val="0"/>
            <w:vAlign w:val="center"/>
          </w:tcPr>
          <w:p w14:paraId="68305E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变配电房（高低压配电室）</w:t>
            </w:r>
          </w:p>
        </w:tc>
        <w:tc>
          <w:tcPr>
            <w:tcW w:w="0" w:type="auto"/>
            <w:noWrap w:val="0"/>
            <w:vAlign w:val="center"/>
          </w:tcPr>
          <w:p w14:paraId="7A7B20E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室内通风散热、防火封堵；电缆沟防积水；消防灭火器材配置；防小动物封堵；电气线路、设备发热及安全警示标识检查；应急照明设置检查</w:t>
            </w:r>
          </w:p>
        </w:tc>
      </w:tr>
      <w:tr w14:paraId="17444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 w:hRule="atLeast"/>
          <w:jc w:val="center"/>
        </w:trPr>
        <w:tc>
          <w:tcPr>
            <w:tcW w:w="0" w:type="auto"/>
            <w:vMerge w:val="continue"/>
            <w:noWrap w:val="0"/>
            <w:vAlign w:val="center"/>
          </w:tcPr>
          <w:p w14:paraId="102DD214">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2"/>
                <w:szCs w:val="22"/>
                <w:lang w:bidi="ar"/>
              </w:rPr>
            </w:pPr>
          </w:p>
        </w:tc>
        <w:tc>
          <w:tcPr>
            <w:tcW w:w="0" w:type="auto"/>
            <w:noWrap w:val="0"/>
            <w:vAlign w:val="center"/>
          </w:tcPr>
          <w:p w14:paraId="36333E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食堂燃气使用区域</w:t>
            </w:r>
          </w:p>
        </w:tc>
        <w:tc>
          <w:tcPr>
            <w:tcW w:w="0" w:type="auto"/>
            <w:noWrap w:val="0"/>
            <w:vAlign w:val="center"/>
          </w:tcPr>
          <w:p w14:paraId="36F0D87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燃气管道、阀门、软管外观检查；燃气报警探测器报警、联动切断气源功能测试；排风通风设施；灭火器材配置；燃气管理制度台账检查</w:t>
            </w:r>
          </w:p>
        </w:tc>
      </w:tr>
      <w:tr w14:paraId="63C37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noWrap w:val="0"/>
            <w:vAlign w:val="center"/>
          </w:tcPr>
          <w:p w14:paraId="5CEEA5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其它消防设施</w:t>
            </w:r>
          </w:p>
        </w:tc>
        <w:tc>
          <w:tcPr>
            <w:tcW w:w="0" w:type="auto"/>
            <w:noWrap w:val="0"/>
            <w:vAlign w:val="center"/>
          </w:tcPr>
          <w:p w14:paraId="486A94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其它消防设施</w:t>
            </w:r>
          </w:p>
        </w:tc>
        <w:tc>
          <w:tcPr>
            <w:tcW w:w="0" w:type="auto"/>
            <w:noWrap w:val="0"/>
            <w:vAlign w:val="center"/>
          </w:tcPr>
          <w:p w14:paraId="73262AF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000000"/>
                <w:kern w:val="0"/>
                <w:sz w:val="22"/>
                <w:szCs w:val="22"/>
                <w:lang w:bidi="ar"/>
              </w:rPr>
            </w:pPr>
            <w:r>
              <w:rPr>
                <w:rFonts w:hint="eastAsia" w:ascii="仿宋" w:hAnsi="仿宋" w:eastAsia="仿宋" w:cs="仿宋"/>
                <w:i w:val="0"/>
                <w:iCs w:val="0"/>
                <w:color w:val="000000"/>
                <w:kern w:val="0"/>
                <w:sz w:val="22"/>
                <w:szCs w:val="22"/>
                <w:u w:val="none"/>
                <w:lang w:val="en-US" w:eastAsia="zh-CN" w:bidi="ar"/>
              </w:rPr>
              <w:t>建筑其余消防设施外观质量、系统功能；防火封堵、建筑构件防火情况检查；消防安全标志设置完整性检查</w:t>
            </w:r>
          </w:p>
        </w:tc>
      </w:tr>
    </w:tbl>
    <w:p w14:paraId="7A50557C">
      <w:pPr>
        <w:keepNext w:val="0"/>
        <w:keepLines w:val="0"/>
        <w:pageBreakBefore w:val="0"/>
        <w:widowControl w:val="0"/>
        <w:kinsoku/>
        <w:wordWrap/>
        <w:overflowPunct/>
        <w:topLinePunct w:val="0"/>
        <w:autoSpaceDE/>
        <w:autoSpaceDN/>
        <w:bidi w:val="0"/>
        <w:adjustRightInd/>
        <w:snapToGrid/>
        <w:ind w:firstLine="440" w:firstLineChars="200"/>
        <w:textAlignment w:val="auto"/>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补充说明</w:t>
      </w:r>
    </w:p>
    <w:p w14:paraId="32663DB8">
      <w:pPr>
        <w:keepNext w:val="0"/>
        <w:keepLines w:val="0"/>
        <w:pageBreakBefore w:val="0"/>
        <w:widowControl w:val="0"/>
        <w:kinsoku/>
        <w:wordWrap/>
        <w:overflowPunct/>
        <w:topLinePunct w:val="0"/>
        <w:autoSpaceDE/>
        <w:autoSpaceDN/>
        <w:bidi w:val="0"/>
        <w:adjustRightInd/>
        <w:snapToGrid/>
        <w:ind w:firstLine="440" w:firstLineChars="200"/>
        <w:textAlignment w:val="auto"/>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val="en-US" w:eastAsia="zh-CN" w:bidi="ar"/>
        </w:rPr>
        <w:t>1、</w:t>
      </w:r>
      <w:r>
        <w:rPr>
          <w:rFonts w:hint="eastAsia" w:ascii="仿宋" w:hAnsi="仿宋" w:eastAsia="仿宋" w:cs="仿宋"/>
          <w:color w:val="000000"/>
          <w:kern w:val="0"/>
          <w:sz w:val="22"/>
          <w:szCs w:val="22"/>
          <w:lang w:bidi="ar"/>
        </w:rPr>
        <w:t>本次检测不限于上表所列项目，应当按照现行有效国家、地方消防规范标准，对建筑内全部建筑消防设施及重点风险场所开展检测、排查；</w:t>
      </w:r>
    </w:p>
    <w:p w14:paraId="34B8EE8D">
      <w:pPr>
        <w:keepNext w:val="0"/>
        <w:keepLines w:val="0"/>
        <w:pageBreakBefore w:val="0"/>
        <w:widowControl w:val="0"/>
        <w:kinsoku/>
        <w:wordWrap/>
        <w:overflowPunct/>
        <w:topLinePunct w:val="0"/>
        <w:autoSpaceDE/>
        <w:autoSpaceDN/>
        <w:bidi w:val="0"/>
        <w:adjustRightInd/>
        <w:snapToGrid/>
        <w:ind w:firstLine="440" w:firstLineChars="200"/>
        <w:textAlignment w:val="auto"/>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val="en-US" w:eastAsia="zh-CN" w:bidi="ar"/>
        </w:rPr>
        <w:t>2、</w:t>
      </w:r>
      <w:r>
        <w:rPr>
          <w:rFonts w:hint="eastAsia" w:ascii="仿宋" w:hAnsi="仿宋" w:eastAsia="仿宋" w:cs="仿宋"/>
          <w:color w:val="000000"/>
          <w:kern w:val="0"/>
          <w:sz w:val="22"/>
          <w:szCs w:val="22"/>
          <w:lang w:bidi="ar"/>
        </w:rPr>
        <w:t>检测不仅包含设备功能测试，同时包含现场隐患排查、制度台账核查、场地通道类消防安全条件核查；</w:t>
      </w:r>
    </w:p>
    <w:p w14:paraId="4CEB7696">
      <w:pPr>
        <w:keepNext w:val="0"/>
        <w:keepLines w:val="0"/>
        <w:pageBreakBefore w:val="0"/>
        <w:widowControl w:val="0"/>
        <w:kinsoku/>
        <w:wordWrap/>
        <w:overflowPunct/>
        <w:topLinePunct w:val="0"/>
        <w:autoSpaceDE/>
        <w:autoSpaceDN/>
        <w:bidi w:val="0"/>
        <w:adjustRightInd/>
        <w:snapToGrid/>
        <w:ind w:firstLine="440" w:firstLineChars="200"/>
        <w:textAlignment w:val="auto"/>
        <w:rPr>
          <w:rFonts w:hint="eastAsia" w:ascii="仿宋" w:hAnsi="仿宋" w:eastAsia="仿宋" w:cs="仿宋"/>
          <w:color w:val="000000"/>
          <w:kern w:val="0"/>
          <w:sz w:val="22"/>
          <w:szCs w:val="22"/>
          <w:lang w:bidi="ar"/>
        </w:rPr>
      </w:pPr>
      <w:r>
        <w:rPr>
          <w:rFonts w:hint="eastAsia" w:ascii="仿宋" w:hAnsi="仿宋" w:eastAsia="仿宋" w:cs="仿宋"/>
          <w:color w:val="000000"/>
          <w:kern w:val="0"/>
          <w:sz w:val="22"/>
          <w:szCs w:val="22"/>
          <w:lang w:val="en-US" w:eastAsia="zh-CN" w:bidi="ar"/>
        </w:rPr>
        <w:t>3、</w:t>
      </w:r>
      <w:r>
        <w:rPr>
          <w:rFonts w:hint="eastAsia" w:ascii="仿宋" w:hAnsi="仿宋" w:eastAsia="仿宋" w:cs="仿宋"/>
          <w:color w:val="000000"/>
          <w:kern w:val="0"/>
          <w:sz w:val="22"/>
          <w:szCs w:val="22"/>
          <w:lang w:bidi="ar"/>
        </w:rPr>
        <w:t>检测完成后应出具完整检测报告，列明全部检测结果以及发现的消防安全隐患，并提出整改建议。</w:t>
      </w:r>
    </w:p>
    <w:p w14:paraId="79C7E24D">
      <w:pPr>
        <w:pStyle w:val="10"/>
        <w:keepNext w:val="0"/>
        <w:keepLines w:val="0"/>
        <w:pageBreakBefore w:val="0"/>
        <w:widowControl w:val="0"/>
        <w:suppressLineNumbers w:val="0"/>
        <w:kinsoku/>
        <w:wordWrap/>
        <w:overflowPunct/>
        <w:topLinePunct w:val="0"/>
        <w:autoSpaceDE w:val="0"/>
        <w:autoSpaceDN/>
        <w:bidi w:val="0"/>
        <w:adjustRightInd/>
        <w:snapToGrid/>
        <w:spacing w:before="157" w:beforeLines="50" w:beforeAutospacing="0" w:line="360" w:lineRule="auto"/>
        <w:ind w:left="0" w:firstLine="0"/>
        <w:textAlignment w:val="auto"/>
        <w:outlineLvl w:val="1"/>
        <w:rPr>
          <w:rFonts w:hint="eastAsia" w:ascii="黑体" w:hAnsi="宋体" w:eastAsia="黑体" w:cs="黑体"/>
          <w:b w:val="0"/>
          <w:bCs w:val="0"/>
          <w:color w:val="000000"/>
          <w:kern w:val="0"/>
          <w:sz w:val="28"/>
          <w:szCs w:val="28"/>
          <w:lang w:eastAsia="zh-CN"/>
        </w:rPr>
      </w:pPr>
      <w:r>
        <w:rPr>
          <w:rFonts w:hint="eastAsia" w:ascii="黑体" w:hAnsi="宋体" w:eastAsia="黑体" w:cs="黑体"/>
          <w:b w:val="0"/>
          <w:bCs w:val="0"/>
          <w:color w:val="000000"/>
          <w:kern w:val="0"/>
          <w:sz w:val="28"/>
          <w:szCs w:val="28"/>
          <w:lang w:eastAsia="zh-CN"/>
        </w:rPr>
        <w:t>（</w:t>
      </w:r>
      <w:r>
        <w:rPr>
          <w:rFonts w:hint="eastAsia" w:ascii="黑体" w:hAnsi="宋体" w:eastAsia="黑体" w:cs="黑体"/>
          <w:b w:val="0"/>
          <w:bCs w:val="0"/>
          <w:color w:val="000000"/>
          <w:kern w:val="0"/>
          <w:sz w:val="28"/>
          <w:szCs w:val="28"/>
          <w:lang w:val="en-US" w:eastAsia="zh-CN"/>
        </w:rPr>
        <w:t>二</w:t>
      </w:r>
      <w:r>
        <w:rPr>
          <w:rFonts w:hint="eastAsia" w:ascii="黑体" w:hAnsi="宋体" w:eastAsia="黑体" w:cs="黑体"/>
          <w:b w:val="0"/>
          <w:bCs w:val="0"/>
          <w:color w:val="000000"/>
          <w:kern w:val="0"/>
          <w:sz w:val="28"/>
          <w:szCs w:val="28"/>
          <w:lang w:eastAsia="zh-CN"/>
        </w:rPr>
        <w:t>）消防安全评估服务内容</w:t>
      </w:r>
    </w:p>
    <w:p w14:paraId="3F41BD3F">
      <w:pPr>
        <w:pStyle w:val="22"/>
        <w:keepNext w:val="0"/>
        <w:keepLines w:val="0"/>
        <w:pageBreakBefore w:val="0"/>
        <w:numPr>
          <w:ilvl w:val="-1"/>
          <w:numId w:val="0"/>
        </w:numPr>
        <w:kinsoku/>
        <w:wordWrap/>
        <w:overflowPunct/>
        <w:topLinePunct w:val="0"/>
        <w:autoSpaceDN/>
        <w:bidi w:val="0"/>
        <w:adjustRightInd/>
        <w:snapToGrid/>
        <w:spacing w:beforeAutospacing="0" w:line="360" w:lineRule="auto"/>
        <w:ind w:left="0" w:leftChars="0" w:firstLine="480" w:firstLineChars="200"/>
        <w:jc w:val="left"/>
        <w:textAlignment w:val="auto"/>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本次消防安全评估工作参照《浙江省消防安全重点单位消防安全评估办法》及国家现行相关消防法律、法规、技术标准开展，评估主要包含以下内容（不限于下述条目）：</w:t>
      </w:r>
    </w:p>
    <w:p w14:paraId="7C5878E8">
      <w:pPr>
        <w:pStyle w:val="22"/>
        <w:keepNext w:val="0"/>
        <w:keepLines w:val="0"/>
        <w:pageBreakBefore w:val="0"/>
        <w:numPr>
          <w:ilvl w:val="-1"/>
          <w:numId w:val="0"/>
        </w:numPr>
        <w:kinsoku/>
        <w:wordWrap/>
        <w:overflowPunct/>
        <w:topLinePunct w:val="0"/>
        <w:autoSpaceDN/>
        <w:bidi w:val="0"/>
        <w:adjustRightInd/>
        <w:snapToGrid/>
        <w:spacing w:beforeAutospacing="0" w:line="360" w:lineRule="auto"/>
        <w:ind w:left="0" w:leftChars="0" w:firstLine="480" w:firstLineChars="200"/>
        <w:jc w:val="left"/>
        <w:textAlignment w:val="auto"/>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1、消防安全合法性：建筑消防行政许可、备案等手续合规性核查。</w:t>
      </w:r>
    </w:p>
    <w:p w14:paraId="5E40DC04">
      <w:pPr>
        <w:pStyle w:val="22"/>
        <w:keepNext w:val="0"/>
        <w:keepLines w:val="0"/>
        <w:pageBreakBefore w:val="0"/>
        <w:numPr>
          <w:ilvl w:val="-1"/>
          <w:numId w:val="0"/>
        </w:numPr>
        <w:kinsoku/>
        <w:wordWrap/>
        <w:overflowPunct/>
        <w:topLinePunct w:val="0"/>
        <w:autoSpaceDN/>
        <w:bidi w:val="0"/>
        <w:adjustRightInd/>
        <w:snapToGrid/>
        <w:spacing w:beforeAutospacing="0" w:line="360" w:lineRule="auto"/>
        <w:ind w:left="0" w:leftChars="0" w:firstLine="480" w:firstLineChars="200"/>
        <w:jc w:val="left"/>
        <w:textAlignment w:val="auto"/>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2、消防安全管理制度建设：消防安全管理制度、消防安全操作规程、应急预案等文件的编制、修订情况。</w:t>
      </w:r>
    </w:p>
    <w:p w14:paraId="26222802">
      <w:pPr>
        <w:pStyle w:val="22"/>
        <w:keepNext w:val="0"/>
        <w:keepLines w:val="0"/>
        <w:pageBreakBefore w:val="0"/>
        <w:numPr>
          <w:ilvl w:val="-1"/>
          <w:numId w:val="0"/>
        </w:numPr>
        <w:kinsoku/>
        <w:wordWrap/>
        <w:overflowPunct/>
        <w:topLinePunct w:val="0"/>
        <w:autoSpaceDN/>
        <w:bidi w:val="0"/>
        <w:adjustRightInd/>
        <w:snapToGrid/>
        <w:spacing w:beforeAutospacing="0" w:line="360" w:lineRule="auto"/>
        <w:ind w:left="0" w:leftChars="0" w:firstLine="480" w:firstLineChars="200"/>
        <w:jc w:val="left"/>
        <w:textAlignment w:val="auto"/>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3、消防安全制度执行落实：各项消防安全管理制度、操作规程、应急预案的现场执行、落实及台账记录情况。</w:t>
      </w:r>
    </w:p>
    <w:p w14:paraId="290FAE10">
      <w:pPr>
        <w:pStyle w:val="22"/>
        <w:keepNext w:val="0"/>
        <w:keepLines w:val="0"/>
        <w:pageBreakBefore w:val="0"/>
        <w:numPr>
          <w:ilvl w:val="-1"/>
          <w:numId w:val="0"/>
        </w:numPr>
        <w:kinsoku/>
        <w:wordWrap/>
        <w:overflowPunct/>
        <w:topLinePunct w:val="0"/>
        <w:autoSpaceDN/>
        <w:bidi w:val="0"/>
        <w:adjustRightInd/>
        <w:snapToGrid/>
        <w:spacing w:beforeAutospacing="0" w:line="360" w:lineRule="auto"/>
        <w:ind w:left="0" w:leftChars="0" w:firstLine="480" w:firstLineChars="200"/>
        <w:jc w:val="left"/>
        <w:textAlignment w:val="auto"/>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4、消防安全管理队伍建设：专职消防队、志愿消防队（微型消防站）人员配置、装备器材、值守及演练开展情况。</w:t>
      </w:r>
    </w:p>
    <w:p w14:paraId="7D98D17A">
      <w:pPr>
        <w:pStyle w:val="22"/>
        <w:keepNext w:val="0"/>
        <w:keepLines w:val="0"/>
        <w:pageBreakBefore w:val="0"/>
        <w:numPr>
          <w:ilvl w:val="-1"/>
          <w:numId w:val="0"/>
        </w:numPr>
        <w:kinsoku/>
        <w:wordWrap/>
        <w:overflowPunct/>
        <w:topLinePunct w:val="0"/>
        <w:autoSpaceDN/>
        <w:bidi w:val="0"/>
        <w:adjustRightInd/>
        <w:snapToGrid/>
        <w:spacing w:beforeAutospacing="0" w:line="360" w:lineRule="auto"/>
        <w:ind w:left="0" w:leftChars="0" w:firstLine="480" w:firstLineChars="200"/>
        <w:jc w:val="left"/>
        <w:textAlignment w:val="auto"/>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5、消建筑防火与疏散条件：建筑防火分区、防火分隔、安全出口、疏散通道、疏散设施、逃生条件，室内装修、建筑外墙保温材料防火性能情况。</w:t>
      </w:r>
    </w:p>
    <w:p w14:paraId="070A402F">
      <w:pPr>
        <w:pStyle w:val="22"/>
        <w:keepNext w:val="0"/>
        <w:keepLines w:val="0"/>
        <w:pageBreakBefore w:val="0"/>
        <w:numPr>
          <w:ilvl w:val="-1"/>
          <w:numId w:val="0"/>
        </w:numPr>
        <w:kinsoku/>
        <w:wordWrap/>
        <w:overflowPunct/>
        <w:topLinePunct w:val="0"/>
        <w:autoSpaceDN/>
        <w:bidi w:val="0"/>
        <w:adjustRightInd/>
        <w:snapToGrid/>
        <w:spacing w:beforeAutospacing="0" w:line="360" w:lineRule="auto"/>
        <w:ind w:left="0" w:leftChars="0" w:firstLine="480" w:firstLineChars="200"/>
        <w:jc w:val="left"/>
        <w:textAlignment w:val="auto"/>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6、消防控制室：消防控制室设置、值班管理、设备运行、台账资料、应急处置能力评估。</w:t>
      </w:r>
    </w:p>
    <w:p w14:paraId="7656CCAA">
      <w:pPr>
        <w:pStyle w:val="22"/>
        <w:keepNext w:val="0"/>
        <w:keepLines w:val="0"/>
        <w:pageBreakBefore w:val="0"/>
        <w:numPr>
          <w:ilvl w:val="-1"/>
          <w:numId w:val="0"/>
        </w:numPr>
        <w:kinsoku/>
        <w:wordWrap/>
        <w:overflowPunct/>
        <w:topLinePunct w:val="0"/>
        <w:autoSpaceDN/>
        <w:bidi w:val="0"/>
        <w:adjustRightInd/>
        <w:snapToGrid/>
        <w:spacing w:beforeAutospacing="0" w:line="360" w:lineRule="auto"/>
        <w:ind w:left="0" w:leftChars="0" w:firstLine="480" w:firstLineChars="200"/>
        <w:jc w:val="left"/>
        <w:textAlignment w:val="auto"/>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7、消防供配电设施：消防电源、备用电源、消防配电线路设置及运行状况评估。</w:t>
      </w:r>
    </w:p>
    <w:p w14:paraId="488BD822">
      <w:pPr>
        <w:pStyle w:val="22"/>
        <w:keepNext w:val="0"/>
        <w:keepLines w:val="0"/>
        <w:pageBreakBefore w:val="0"/>
        <w:numPr>
          <w:ilvl w:val="-1"/>
          <w:numId w:val="0"/>
        </w:numPr>
        <w:kinsoku/>
        <w:wordWrap/>
        <w:overflowPunct/>
        <w:topLinePunct w:val="0"/>
        <w:autoSpaceDN/>
        <w:bidi w:val="0"/>
        <w:adjustRightInd/>
        <w:snapToGrid/>
        <w:spacing w:beforeAutospacing="0" w:line="360" w:lineRule="auto"/>
        <w:ind w:left="0" w:leftChars="0" w:firstLine="480" w:firstLineChars="200"/>
        <w:jc w:val="left"/>
        <w:textAlignment w:val="auto"/>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8、火灾自动报警系统：系统设置、设备配置、功能运行、联动逻辑符合性评估。</w:t>
      </w:r>
    </w:p>
    <w:p w14:paraId="5B9EE1C1">
      <w:pPr>
        <w:pStyle w:val="22"/>
        <w:keepNext w:val="0"/>
        <w:keepLines w:val="0"/>
        <w:pageBreakBefore w:val="0"/>
        <w:numPr>
          <w:ilvl w:val="-1"/>
          <w:numId w:val="0"/>
        </w:numPr>
        <w:kinsoku/>
        <w:wordWrap/>
        <w:overflowPunct/>
        <w:topLinePunct w:val="0"/>
        <w:autoSpaceDN/>
        <w:bidi w:val="0"/>
        <w:adjustRightInd/>
        <w:snapToGrid/>
        <w:spacing w:beforeAutospacing="0" w:line="360" w:lineRule="auto"/>
        <w:ind w:left="0" w:leftChars="0" w:firstLine="480" w:firstLineChars="200"/>
        <w:jc w:val="left"/>
        <w:textAlignment w:val="auto"/>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9、消防给水及消火栓系统：消防水源、消防水池、消防水箱、消防泵、管网、室内外消火栓、水泵接合器等设置与运行状况评估。</w:t>
      </w:r>
    </w:p>
    <w:p w14:paraId="39B72483">
      <w:pPr>
        <w:pStyle w:val="22"/>
        <w:keepNext w:val="0"/>
        <w:keepLines w:val="0"/>
        <w:pageBreakBefore w:val="0"/>
        <w:numPr>
          <w:ilvl w:val="-1"/>
          <w:numId w:val="0"/>
        </w:numPr>
        <w:kinsoku/>
        <w:wordWrap/>
        <w:overflowPunct/>
        <w:topLinePunct w:val="0"/>
        <w:autoSpaceDN/>
        <w:bidi w:val="0"/>
        <w:adjustRightInd/>
        <w:snapToGrid/>
        <w:spacing w:beforeAutospacing="0" w:line="360" w:lineRule="auto"/>
        <w:ind w:left="0" w:leftChars="0" w:firstLine="480" w:firstLineChars="200"/>
        <w:jc w:val="left"/>
        <w:textAlignment w:val="auto"/>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10、自动喷水灭火系统：系统组件配置、设置及功能运行符合性评估。</w:t>
      </w:r>
    </w:p>
    <w:p w14:paraId="04C2C69C">
      <w:pPr>
        <w:pStyle w:val="22"/>
        <w:keepNext w:val="0"/>
        <w:keepLines w:val="0"/>
        <w:pageBreakBefore w:val="0"/>
        <w:numPr>
          <w:ilvl w:val="-1"/>
          <w:numId w:val="0"/>
        </w:numPr>
        <w:kinsoku/>
        <w:wordWrap/>
        <w:overflowPunct/>
        <w:topLinePunct w:val="0"/>
        <w:autoSpaceDN/>
        <w:bidi w:val="0"/>
        <w:adjustRightInd/>
        <w:snapToGrid/>
        <w:spacing w:beforeAutospacing="0" w:line="360" w:lineRule="auto"/>
        <w:ind w:left="0" w:leftChars="0" w:firstLine="480" w:firstLineChars="200"/>
        <w:jc w:val="left"/>
        <w:textAlignment w:val="auto"/>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11、防烟排烟系统：防排烟风机、风口、阀部件等设置及功能运行符合性评估。</w:t>
      </w:r>
    </w:p>
    <w:p w14:paraId="56EEFD5F">
      <w:pPr>
        <w:pStyle w:val="22"/>
        <w:keepNext w:val="0"/>
        <w:keepLines w:val="0"/>
        <w:pageBreakBefore w:val="0"/>
        <w:numPr>
          <w:ilvl w:val="-1"/>
          <w:numId w:val="0"/>
        </w:numPr>
        <w:kinsoku/>
        <w:wordWrap/>
        <w:overflowPunct/>
        <w:topLinePunct w:val="0"/>
        <w:autoSpaceDN/>
        <w:bidi w:val="0"/>
        <w:adjustRightInd/>
        <w:snapToGrid/>
        <w:spacing w:beforeAutospacing="0" w:line="360" w:lineRule="auto"/>
        <w:ind w:left="0" w:leftChars="0" w:firstLine="480" w:firstLineChars="200"/>
        <w:jc w:val="left"/>
        <w:textAlignment w:val="auto"/>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12、防火分隔设施：防火门、防火卷帘、防火阀、挡烟垂壁等防火分隔构件设置及完好有效情况评估。</w:t>
      </w:r>
    </w:p>
    <w:p w14:paraId="01B87123">
      <w:pPr>
        <w:pStyle w:val="22"/>
        <w:keepNext w:val="0"/>
        <w:keepLines w:val="0"/>
        <w:pageBreakBefore w:val="0"/>
        <w:numPr>
          <w:ilvl w:val="-1"/>
          <w:numId w:val="0"/>
        </w:numPr>
        <w:kinsoku/>
        <w:wordWrap/>
        <w:overflowPunct/>
        <w:topLinePunct w:val="0"/>
        <w:autoSpaceDN/>
        <w:bidi w:val="0"/>
        <w:adjustRightInd/>
        <w:snapToGrid/>
        <w:spacing w:beforeAutospacing="0" w:line="360" w:lineRule="auto"/>
        <w:ind w:left="0" w:leftChars="0" w:firstLine="480" w:firstLineChars="200"/>
        <w:jc w:val="left"/>
        <w:textAlignment w:val="auto"/>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13、灭火器材配置：灭火器等消防器材选型、配置数量、摆放位置、完好有效性评估。</w:t>
      </w:r>
    </w:p>
    <w:p w14:paraId="28E08183">
      <w:pPr>
        <w:pStyle w:val="22"/>
        <w:keepNext w:val="0"/>
        <w:keepLines w:val="0"/>
        <w:pageBreakBefore w:val="0"/>
        <w:numPr>
          <w:ilvl w:val="-1"/>
          <w:numId w:val="0"/>
        </w:numPr>
        <w:kinsoku/>
        <w:wordWrap/>
        <w:overflowPunct/>
        <w:topLinePunct w:val="0"/>
        <w:autoSpaceDN/>
        <w:bidi w:val="0"/>
        <w:adjustRightInd/>
        <w:snapToGrid/>
        <w:spacing w:beforeAutospacing="0" w:line="360" w:lineRule="auto"/>
        <w:ind w:left="0" w:leftChars="0" w:firstLine="480" w:firstLineChars="200"/>
        <w:jc w:val="left"/>
        <w:textAlignment w:val="auto"/>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14、消防安全 “四个能力” 建设评估：对单位检查消除火灾隐患能力、扑救初起火灾能力、组织人员疏散逃生能力、开展消防宣传教育培训能力建设现状开展综合评估。</w:t>
      </w:r>
    </w:p>
    <w:p w14:paraId="696BF577">
      <w:pPr>
        <w:pStyle w:val="22"/>
        <w:keepNext w:val="0"/>
        <w:keepLines w:val="0"/>
        <w:pageBreakBefore w:val="0"/>
        <w:numPr>
          <w:ilvl w:val="-1"/>
          <w:numId w:val="0"/>
        </w:numPr>
        <w:kinsoku/>
        <w:wordWrap/>
        <w:overflowPunct/>
        <w:topLinePunct w:val="0"/>
        <w:autoSpaceDN/>
        <w:bidi w:val="0"/>
        <w:adjustRightInd/>
        <w:snapToGrid/>
        <w:spacing w:beforeAutospacing="0" w:line="360" w:lineRule="auto"/>
        <w:ind w:left="0" w:leftChars="0" w:firstLine="480" w:firstLineChars="200"/>
        <w:jc w:val="left"/>
        <w:textAlignment w:val="auto"/>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15、消防安全标识设置：安全疏散标识、警示标识、设备标识、禁止类标识等设置的完整性、规范性核查。</w:t>
      </w:r>
    </w:p>
    <w:p w14:paraId="5936CD9A">
      <w:pPr>
        <w:pStyle w:val="22"/>
        <w:keepNext w:val="0"/>
        <w:keepLines w:val="0"/>
        <w:pageBreakBefore w:val="0"/>
        <w:numPr>
          <w:ilvl w:val="-1"/>
          <w:numId w:val="0"/>
        </w:numPr>
        <w:kinsoku/>
        <w:wordWrap/>
        <w:overflowPunct/>
        <w:topLinePunct w:val="0"/>
        <w:autoSpaceDN/>
        <w:bidi w:val="0"/>
        <w:adjustRightInd/>
        <w:snapToGrid/>
        <w:spacing w:beforeAutospacing="0" w:line="360" w:lineRule="auto"/>
        <w:ind w:left="0" w:leftChars="0" w:firstLine="480" w:firstLineChars="200"/>
        <w:jc w:val="left"/>
        <w:textAlignment w:val="auto"/>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16、其他消防安全技术防范措施：其他与本单位实际情况相关的消防安全风险、技术防范措施及隐患分析评估。</w:t>
      </w:r>
    </w:p>
    <w:p w14:paraId="7DFD9F0D">
      <w:pPr>
        <w:pStyle w:val="22"/>
        <w:keepNext w:val="0"/>
        <w:keepLines w:val="0"/>
        <w:pageBreakBefore w:val="0"/>
        <w:numPr>
          <w:ilvl w:val="-1"/>
          <w:numId w:val="0"/>
        </w:numPr>
        <w:kinsoku/>
        <w:wordWrap/>
        <w:overflowPunct/>
        <w:topLinePunct w:val="0"/>
        <w:autoSpaceDN/>
        <w:bidi w:val="0"/>
        <w:adjustRightInd/>
        <w:snapToGrid/>
        <w:spacing w:beforeAutospacing="0" w:line="360" w:lineRule="auto"/>
        <w:ind w:left="0" w:leftChars="0" w:firstLine="480" w:firstLineChars="200"/>
        <w:jc w:val="left"/>
        <w:textAlignment w:val="auto"/>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评估实施应完整执行《浙江省消防安全重点单位消防安全评估办法》全部相关要求，本附件所列仅为主要评估内容，评估范围不得因本清单有所缩减。</w:t>
      </w:r>
    </w:p>
    <w:p w14:paraId="382D0773">
      <w:pPr>
        <w:pStyle w:val="22"/>
        <w:keepNext w:val="0"/>
        <w:keepLines w:val="0"/>
        <w:pageBreakBefore w:val="0"/>
        <w:numPr>
          <w:ilvl w:val="-1"/>
          <w:numId w:val="0"/>
        </w:numPr>
        <w:kinsoku/>
        <w:wordWrap/>
        <w:overflowPunct/>
        <w:topLinePunct w:val="0"/>
        <w:autoSpaceDN/>
        <w:bidi w:val="0"/>
        <w:adjustRightInd/>
        <w:snapToGrid/>
        <w:spacing w:beforeAutospacing="0" w:line="360" w:lineRule="auto"/>
        <w:ind w:left="0" w:leftChars="0" w:firstLine="482" w:firstLineChars="200"/>
        <w:jc w:val="left"/>
        <w:textAlignment w:val="auto"/>
        <w:rPr>
          <w:rFonts w:hint="eastAsia" w:ascii="仿宋" w:hAnsi="仿宋" w:eastAsia="仿宋" w:cs="仿宋"/>
          <w:b/>
          <w:sz w:val="24"/>
          <w:szCs w:val="24"/>
          <w:highlight w:val="yellow"/>
        </w:rPr>
      </w:pPr>
      <w:r>
        <w:rPr>
          <w:rFonts w:hint="eastAsia" w:ascii="仿宋" w:hAnsi="仿宋" w:eastAsia="仿宋" w:cs="仿宋"/>
          <w:b/>
          <w:sz w:val="24"/>
          <w:szCs w:val="24"/>
          <w:highlight w:val="yellow"/>
        </w:rPr>
        <w:br w:type="page"/>
      </w:r>
    </w:p>
    <w:p w14:paraId="10BA56D2">
      <w:pPr>
        <w:pStyle w:val="2"/>
        <w:bidi w:val="0"/>
        <w:jc w:val="center"/>
        <w:rPr>
          <w:rFonts w:hint="eastAsia"/>
          <w:sz w:val="36"/>
          <w:szCs w:val="21"/>
        </w:rPr>
      </w:pPr>
      <w:r>
        <w:rPr>
          <w:rFonts w:hint="eastAsia"/>
          <w:sz w:val="36"/>
          <w:szCs w:val="21"/>
        </w:rPr>
        <w:t>第</w:t>
      </w:r>
      <w:r>
        <w:rPr>
          <w:rFonts w:hint="eastAsia"/>
          <w:sz w:val="36"/>
          <w:szCs w:val="21"/>
          <w:lang w:val="en-US" w:eastAsia="zh-CN"/>
        </w:rPr>
        <w:t>三</w:t>
      </w:r>
      <w:r>
        <w:rPr>
          <w:rFonts w:hint="eastAsia"/>
          <w:sz w:val="36"/>
          <w:szCs w:val="21"/>
        </w:rPr>
        <w:t>章 评标办法及评分标准</w:t>
      </w:r>
    </w:p>
    <w:p w14:paraId="22B09F38">
      <w:pPr>
        <w:spacing w:line="360" w:lineRule="auto"/>
        <w:ind w:firstLine="480" w:firstLineChars="200"/>
        <w:jc w:val="left"/>
        <w:rPr>
          <w:rFonts w:hint="eastAsia" w:ascii="仿宋" w:hAnsi="仿宋" w:eastAsia="仿宋" w:cs="仿宋"/>
          <w:color w:val="000000"/>
          <w:kern w:val="0"/>
          <w:sz w:val="24"/>
          <w:shd w:val="clear" w:color="auto" w:fill="FFFFFF"/>
          <w:lang w:bidi="ar"/>
        </w:rPr>
      </w:pPr>
      <w:r>
        <w:rPr>
          <w:rFonts w:hint="eastAsia" w:ascii="仿宋" w:hAnsi="仿宋" w:eastAsia="仿宋" w:cs="仿宋"/>
          <w:color w:val="000000"/>
          <w:kern w:val="0"/>
          <w:sz w:val="24"/>
          <w:shd w:val="clear" w:color="auto" w:fill="FFFFFF"/>
          <w:lang w:bidi="ar"/>
        </w:rPr>
        <w:t>为公正、公平、科学地选择中标人，根据《中华人民共和国政府采购法》等有关法律法规的规定，并结合本项目的实际，制定本办法。</w:t>
      </w:r>
    </w:p>
    <w:p w14:paraId="7D03CBAF">
      <w:pPr>
        <w:spacing w:line="360" w:lineRule="auto"/>
        <w:jc w:val="left"/>
        <w:rPr>
          <w:rFonts w:hint="eastAsia" w:ascii="仿宋" w:hAnsi="仿宋" w:eastAsia="仿宋" w:cs="仿宋"/>
          <w:b/>
          <w:bCs/>
          <w:color w:val="000000"/>
          <w:kern w:val="0"/>
          <w:sz w:val="28"/>
          <w:szCs w:val="28"/>
          <w:shd w:val="clear" w:color="auto" w:fill="FFFFFF"/>
          <w:lang w:bidi="ar"/>
        </w:rPr>
      </w:pPr>
      <w:r>
        <w:rPr>
          <w:rFonts w:hint="eastAsia" w:ascii="仿宋" w:hAnsi="仿宋" w:eastAsia="仿宋" w:cs="仿宋"/>
          <w:b/>
          <w:bCs/>
          <w:color w:val="000000"/>
          <w:kern w:val="0"/>
          <w:sz w:val="28"/>
          <w:szCs w:val="28"/>
          <w:shd w:val="clear" w:color="auto" w:fill="FFFFFF"/>
          <w:lang w:bidi="ar"/>
        </w:rPr>
        <w:t>一、总则</w:t>
      </w:r>
    </w:p>
    <w:p w14:paraId="1CFF48B0">
      <w:pPr>
        <w:spacing w:line="360" w:lineRule="auto"/>
        <w:ind w:firstLine="480" w:firstLineChars="200"/>
        <w:jc w:val="left"/>
        <w:rPr>
          <w:rFonts w:hint="eastAsia" w:ascii="仿宋" w:hAnsi="仿宋" w:eastAsia="仿宋" w:cs="仿宋"/>
          <w:color w:val="000000"/>
          <w:kern w:val="0"/>
          <w:sz w:val="24"/>
          <w:shd w:val="clear" w:color="auto" w:fill="FFFFFF"/>
          <w:lang w:bidi="ar"/>
        </w:rPr>
      </w:pPr>
      <w:r>
        <w:rPr>
          <w:rFonts w:hint="eastAsia" w:ascii="仿宋" w:hAnsi="仿宋" w:eastAsia="仿宋" w:cs="仿宋"/>
          <w:color w:val="000000"/>
          <w:kern w:val="0"/>
          <w:sz w:val="24"/>
          <w:shd w:val="clear" w:color="auto" w:fill="FFFFFF"/>
          <w:lang w:bidi="ar"/>
        </w:rPr>
        <w:t>本次评标采用综合评分法，合格投标人的评标得分为各项目汇总得分，按评标得分由高到低顺序排列，得分相同的，按投标报价由低到高顺序排列；得分且投标报价相同的，按技术得分由高到低顺序排列；得分仍相同的，由评标委员会决定。本项目由采购人授权评标委员会直接确定排名第一的投标人为中标人。投标文件满足招标文件全部实质性要求，且按照评审因素的量化指标评审得分最高的投标人为排名第一的中标候选人。排名依次类推，按照上述规定如出现并列情况，由评审委员会抽签决定中标候选人次序。评分过程中采用四舍五入法，并保留小数2位。</w:t>
      </w:r>
    </w:p>
    <w:p w14:paraId="25FF034D">
      <w:pPr>
        <w:spacing w:line="360" w:lineRule="auto"/>
        <w:ind w:firstLine="480" w:firstLineChars="200"/>
        <w:jc w:val="left"/>
        <w:rPr>
          <w:rFonts w:hint="eastAsia" w:ascii="仿宋" w:hAnsi="仿宋" w:eastAsia="仿宋" w:cs="仿宋"/>
          <w:color w:val="000000"/>
          <w:kern w:val="0"/>
          <w:sz w:val="24"/>
          <w:shd w:val="clear" w:color="auto" w:fill="FFFFFF"/>
          <w:lang w:bidi="ar"/>
        </w:rPr>
      </w:pPr>
      <w:r>
        <w:rPr>
          <w:rFonts w:hint="eastAsia" w:ascii="仿宋" w:hAnsi="仿宋" w:eastAsia="仿宋" w:cs="仿宋"/>
          <w:color w:val="000000"/>
          <w:kern w:val="0"/>
          <w:sz w:val="24"/>
          <w:shd w:val="clear" w:color="auto" w:fill="FFFFFF"/>
          <w:lang w:bidi="ar"/>
        </w:rPr>
        <w:t>投标人评标综合得分=价格分+技术、商务、资信及其他分</w:t>
      </w:r>
    </w:p>
    <w:p w14:paraId="67289651">
      <w:pPr>
        <w:spacing w:line="360" w:lineRule="auto"/>
        <w:jc w:val="left"/>
        <w:rPr>
          <w:rFonts w:hint="eastAsia" w:ascii="仿宋" w:hAnsi="仿宋" w:eastAsia="仿宋" w:cs="仿宋"/>
          <w:b/>
          <w:bCs/>
          <w:color w:val="000000"/>
          <w:kern w:val="0"/>
          <w:sz w:val="28"/>
          <w:szCs w:val="28"/>
          <w:shd w:val="clear" w:color="auto" w:fill="FFFFFF"/>
          <w:lang w:bidi="ar"/>
        </w:rPr>
      </w:pPr>
      <w:r>
        <w:rPr>
          <w:rFonts w:hint="eastAsia" w:ascii="仿宋" w:hAnsi="仿宋" w:eastAsia="仿宋" w:cs="仿宋"/>
          <w:b/>
          <w:bCs/>
          <w:color w:val="000000"/>
          <w:kern w:val="0"/>
          <w:sz w:val="28"/>
          <w:szCs w:val="28"/>
          <w:shd w:val="clear" w:color="auto" w:fill="FFFFFF"/>
          <w:lang w:bidi="ar"/>
        </w:rPr>
        <w:t>二、评标内容及标准</w:t>
      </w:r>
    </w:p>
    <w:p w14:paraId="4DDF10D4">
      <w:pPr>
        <w:spacing w:line="360" w:lineRule="auto"/>
        <w:ind w:firstLine="482" w:firstLineChars="200"/>
        <w:jc w:val="left"/>
        <w:rPr>
          <w:rFonts w:hint="eastAsia" w:ascii="仿宋" w:hAnsi="仿宋" w:eastAsia="仿宋" w:cs="仿宋"/>
          <w:b/>
          <w:bCs/>
          <w:color w:val="000000"/>
          <w:kern w:val="0"/>
          <w:sz w:val="24"/>
          <w:shd w:val="clear" w:color="auto" w:fill="FFFFFF"/>
          <w:lang w:bidi="ar"/>
        </w:rPr>
      </w:pPr>
      <w:r>
        <w:rPr>
          <w:rFonts w:hint="eastAsia" w:ascii="仿宋" w:hAnsi="仿宋" w:eastAsia="仿宋" w:cs="仿宋"/>
          <w:b/>
          <w:bCs/>
          <w:color w:val="000000"/>
          <w:kern w:val="0"/>
          <w:sz w:val="24"/>
          <w:shd w:val="clear" w:color="auto" w:fill="FFFFFF"/>
          <w:lang w:bidi="ar"/>
        </w:rPr>
        <w:t>1、价格分（</w:t>
      </w:r>
      <w:r>
        <w:rPr>
          <w:rFonts w:hint="eastAsia" w:ascii="仿宋" w:hAnsi="仿宋" w:eastAsia="仿宋" w:cs="仿宋"/>
          <w:b/>
          <w:bCs/>
          <w:color w:val="000000"/>
          <w:kern w:val="0"/>
          <w:sz w:val="24"/>
          <w:shd w:val="clear" w:color="auto" w:fill="FFFFFF"/>
          <w:lang w:val="en-US" w:eastAsia="zh-CN" w:bidi="ar"/>
        </w:rPr>
        <w:t>1</w:t>
      </w:r>
      <w:r>
        <w:rPr>
          <w:rFonts w:hint="eastAsia" w:ascii="仿宋" w:hAnsi="仿宋" w:eastAsia="仿宋" w:cs="仿宋"/>
          <w:b/>
          <w:bCs/>
          <w:color w:val="000000"/>
          <w:kern w:val="0"/>
          <w:sz w:val="24"/>
          <w:shd w:val="clear" w:color="auto" w:fill="FFFFFF"/>
          <w:lang w:bidi="ar"/>
        </w:rPr>
        <w:t>0分）</w:t>
      </w:r>
    </w:p>
    <w:p w14:paraId="4654F9AB">
      <w:pPr>
        <w:spacing w:line="360" w:lineRule="auto"/>
        <w:ind w:firstLine="480" w:firstLineChars="200"/>
        <w:jc w:val="left"/>
        <w:rPr>
          <w:rFonts w:hint="eastAsia" w:ascii="仿宋" w:hAnsi="仿宋" w:eastAsia="仿宋" w:cs="仿宋"/>
          <w:color w:val="000000"/>
          <w:kern w:val="0"/>
          <w:sz w:val="24"/>
          <w:shd w:val="clear" w:color="auto" w:fill="FFFFFF"/>
          <w:lang w:bidi="ar"/>
        </w:rPr>
      </w:pPr>
      <w:r>
        <w:rPr>
          <w:rFonts w:hint="eastAsia" w:ascii="仿宋" w:hAnsi="仿宋" w:eastAsia="仿宋" w:cs="仿宋"/>
          <w:color w:val="000000"/>
          <w:kern w:val="0"/>
          <w:sz w:val="24"/>
          <w:shd w:val="clear" w:color="auto" w:fill="FFFFFF"/>
          <w:lang w:bidi="ar"/>
        </w:rPr>
        <w:t>价格分采用低价优先法计算，取所有有效投标人中投标价格最低的投标报价为评标基准价，其他投标人的价格分按照下列公式计算：</w:t>
      </w:r>
    </w:p>
    <w:p w14:paraId="5D295582">
      <w:pPr>
        <w:spacing w:line="360" w:lineRule="auto"/>
        <w:ind w:firstLine="480" w:firstLineChars="200"/>
        <w:jc w:val="left"/>
        <w:rPr>
          <w:rFonts w:hint="eastAsia" w:ascii="仿宋" w:hAnsi="仿宋" w:eastAsia="仿宋" w:cs="仿宋"/>
          <w:color w:val="000000"/>
          <w:kern w:val="0"/>
          <w:sz w:val="24"/>
          <w:shd w:val="clear" w:color="auto" w:fill="FFFFFF"/>
          <w:lang w:bidi="ar"/>
        </w:rPr>
      </w:pPr>
      <w:r>
        <w:rPr>
          <w:rFonts w:hint="eastAsia" w:ascii="仿宋" w:hAnsi="仿宋" w:eastAsia="仿宋" w:cs="仿宋"/>
          <w:color w:val="000000"/>
          <w:kern w:val="0"/>
          <w:sz w:val="24"/>
          <w:shd w:val="clear" w:color="auto" w:fill="FFFFFF"/>
          <w:lang w:bidi="ar"/>
        </w:rPr>
        <w:t>价格分=（评标基准价/投标报价）×</w:t>
      </w:r>
      <w:r>
        <w:rPr>
          <w:rFonts w:hint="eastAsia" w:ascii="仿宋" w:hAnsi="仿宋" w:eastAsia="仿宋" w:cs="仿宋"/>
          <w:color w:val="000000"/>
          <w:kern w:val="0"/>
          <w:sz w:val="24"/>
          <w:shd w:val="clear" w:color="auto" w:fill="FFFFFF"/>
          <w:lang w:val="en-US" w:eastAsia="zh-CN" w:bidi="ar"/>
        </w:rPr>
        <w:t>1</w:t>
      </w:r>
      <w:r>
        <w:rPr>
          <w:rFonts w:hint="eastAsia" w:ascii="仿宋" w:hAnsi="仿宋" w:eastAsia="仿宋" w:cs="仿宋"/>
          <w:color w:val="000000"/>
          <w:kern w:val="0"/>
          <w:sz w:val="24"/>
          <w:shd w:val="clear" w:color="auto" w:fill="FFFFFF"/>
          <w:lang w:bidi="ar"/>
        </w:rPr>
        <w:t>0×100%</w:t>
      </w:r>
    </w:p>
    <w:p w14:paraId="7FDDC8DB">
      <w:pPr>
        <w:spacing w:line="360" w:lineRule="auto"/>
        <w:ind w:firstLine="480" w:firstLineChars="200"/>
        <w:jc w:val="left"/>
        <w:rPr>
          <w:rFonts w:hint="eastAsia" w:ascii="仿宋" w:hAnsi="仿宋" w:eastAsia="仿宋" w:cs="仿宋"/>
          <w:color w:val="000000"/>
          <w:kern w:val="0"/>
          <w:sz w:val="24"/>
          <w:shd w:val="clear" w:color="auto" w:fill="FFFFFF"/>
          <w:lang w:bidi="ar"/>
        </w:rPr>
      </w:pPr>
      <w:r>
        <w:rPr>
          <w:rFonts w:hint="eastAsia" w:ascii="仿宋" w:hAnsi="仿宋" w:eastAsia="仿宋" w:cs="仿宋"/>
          <w:color w:val="000000"/>
          <w:kern w:val="0"/>
          <w:sz w:val="24"/>
          <w:shd w:val="clear" w:color="auto" w:fill="FFFFFF"/>
          <w:lang w:bidi="ar"/>
        </w:rPr>
        <w:t>评标委员会认为投标人的报价明显低于其他通过符合性审查投标人的报价，有可能影响服务质量或者不能诚信履约的，应当要求其在评标现场合理的时间内提供书面说明，必要时提交相关证明材料:投标人不能证明其报价合理性的，评标委员会应当将其作为无效投标处理。</w:t>
      </w:r>
    </w:p>
    <w:p w14:paraId="2131233B">
      <w:pPr>
        <w:spacing w:line="360" w:lineRule="auto"/>
        <w:ind w:firstLine="482" w:firstLineChars="200"/>
        <w:jc w:val="left"/>
        <w:rPr>
          <w:rFonts w:hint="eastAsia" w:ascii="仿宋" w:hAnsi="仿宋" w:eastAsia="仿宋" w:cs="仿宋"/>
          <w:b/>
          <w:bCs/>
          <w:color w:val="000000"/>
          <w:kern w:val="0"/>
          <w:sz w:val="24"/>
          <w:shd w:val="clear" w:color="auto" w:fill="FFFFFF"/>
          <w:lang w:bidi="ar"/>
        </w:rPr>
      </w:pPr>
      <w:r>
        <w:rPr>
          <w:rFonts w:hint="eastAsia" w:ascii="仿宋" w:hAnsi="仿宋" w:eastAsia="仿宋" w:cs="仿宋"/>
          <w:b/>
          <w:bCs/>
          <w:color w:val="000000"/>
          <w:kern w:val="0"/>
          <w:sz w:val="24"/>
          <w:shd w:val="clear" w:color="auto" w:fill="FFFFFF"/>
          <w:lang w:bidi="ar"/>
        </w:rPr>
        <w:t>2、技术、商务、资信及其他分（</w:t>
      </w:r>
      <w:r>
        <w:rPr>
          <w:rFonts w:hint="eastAsia" w:ascii="仿宋" w:hAnsi="仿宋" w:eastAsia="仿宋" w:cs="仿宋"/>
          <w:b/>
          <w:bCs/>
          <w:color w:val="000000"/>
          <w:kern w:val="0"/>
          <w:sz w:val="24"/>
          <w:shd w:val="clear" w:color="auto" w:fill="FFFFFF"/>
          <w:lang w:val="en-US" w:eastAsia="zh-CN" w:bidi="ar"/>
        </w:rPr>
        <w:t>9</w:t>
      </w:r>
      <w:r>
        <w:rPr>
          <w:rFonts w:hint="eastAsia" w:ascii="仿宋" w:hAnsi="仿宋" w:eastAsia="仿宋" w:cs="仿宋"/>
          <w:b/>
          <w:bCs/>
          <w:color w:val="000000"/>
          <w:kern w:val="0"/>
          <w:sz w:val="24"/>
          <w:shd w:val="clear" w:color="auto" w:fill="FFFFFF"/>
          <w:lang w:bidi="ar"/>
        </w:rPr>
        <w:t>0分）</w:t>
      </w:r>
    </w:p>
    <w:p w14:paraId="5A7B7665">
      <w:pPr>
        <w:spacing w:line="360" w:lineRule="auto"/>
        <w:ind w:firstLine="480" w:firstLineChars="200"/>
        <w:jc w:val="left"/>
        <w:rPr>
          <w:rFonts w:hint="eastAsia" w:ascii="仿宋" w:hAnsi="仿宋" w:eastAsia="仿宋" w:cs="仿宋"/>
          <w:color w:val="000000"/>
          <w:kern w:val="0"/>
          <w:sz w:val="24"/>
          <w:shd w:val="clear" w:color="auto" w:fill="FFFFFF"/>
          <w:lang w:bidi="ar"/>
        </w:rPr>
      </w:pPr>
      <w:r>
        <w:rPr>
          <w:rFonts w:hint="eastAsia" w:ascii="仿宋" w:hAnsi="仿宋" w:eastAsia="仿宋" w:cs="仿宋"/>
          <w:color w:val="000000"/>
          <w:kern w:val="0"/>
          <w:sz w:val="24"/>
          <w:shd w:val="clear" w:color="auto" w:fill="FFFFFF"/>
          <w:lang w:bidi="ar"/>
        </w:rPr>
        <w:t>技术、商务、资信及其他分按照评标委员会成员的独立评分结果汇总数的算术平均分计算，计算公式为:</w:t>
      </w:r>
    </w:p>
    <w:p w14:paraId="2D8A218B">
      <w:pPr>
        <w:spacing w:line="360" w:lineRule="auto"/>
        <w:ind w:firstLine="480" w:firstLineChars="200"/>
        <w:jc w:val="left"/>
        <w:rPr>
          <w:rFonts w:hint="eastAsia" w:ascii="仿宋" w:hAnsi="仿宋" w:eastAsia="仿宋" w:cs="仿宋"/>
          <w:color w:val="000000"/>
          <w:kern w:val="0"/>
          <w:sz w:val="24"/>
          <w:shd w:val="clear" w:color="auto" w:fill="FFFFFF"/>
          <w:lang w:bidi="ar"/>
        </w:rPr>
      </w:pPr>
      <w:r>
        <w:rPr>
          <w:rFonts w:hint="eastAsia" w:ascii="仿宋" w:hAnsi="仿宋" w:eastAsia="仿宋" w:cs="仿宋"/>
          <w:color w:val="000000"/>
          <w:kern w:val="0"/>
          <w:sz w:val="24"/>
          <w:shd w:val="clear" w:color="auto" w:fill="FFFFFF"/>
          <w:lang w:bidi="ar"/>
        </w:rPr>
        <w:t>技术、商务、资信及其他分=评标委员会所有成员评分合计数/评标委员会组成人员数</w:t>
      </w:r>
    </w:p>
    <w:p w14:paraId="25F3C9C8">
      <w:pPr>
        <w:rPr>
          <w:rFonts w:hint="eastAsia"/>
          <w:lang w:val="en-US" w:eastAsia="zh-CN"/>
        </w:rPr>
      </w:pPr>
    </w:p>
    <w:p w14:paraId="629F2925">
      <w:pPr>
        <w:pStyle w:val="5"/>
        <w:rPr>
          <w:rFonts w:hint="eastAsia"/>
          <w:lang w:val="en-US" w:eastAsia="zh-CN"/>
        </w:rPr>
      </w:pPr>
    </w:p>
    <w:p w14:paraId="6AE736F7">
      <w:pPr>
        <w:pStyle w:val="4"/>
        <w:bidi w:val="0"/>
        <w:jc w:val="center"/>
        <w:rPr>
          <w:rFonts w:hint="eastAsia"/>
        </w:rPr>
      </w:pPr>
      <w:r>
        <w:rPr>
          <w:rFonts w:hint="eastAsia"/>
        </w:rPr>
        <w:t>评分表（技术、商务、资信及其他分，共</w:t>
      </w:r>
      <w:r>
        <w:rPr>
          <w:rFonts w:hint="eastAsia"/>
          <w:lang w:val="en-US" w:eastAsia="zh-CN"/>
        </w:rPr>
        <w:t>9</w:t>
      </w:r>
      <w:r>
        <w:rPr>
          <w:rFonts w:hint="eastAsia"/>
        </w:rPr>
        <w:t>0分）</w:t>
      </w:r>
    </w:p>
    <w:tbl>
      <w:tblPr>
        <w:tblStyle w:val="16"/>
        <w:tblW w:w="9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1067"/>
        <w:gridCol w:w="6405"/>
        <w:gridCol w:w="861"/>
      </w:tblGrid>
      <w:tr w14:paraId="5F054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722" w:type="dxa"/>
            <w:vAlign w:val="center"/>
          </w:tcPr>
          <w:p w14:paraId="089224E3">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leftChars="0" w:right="0" w:rightChars="0"/>
              <w:jc w:val="center"/>
              <w:textAlignment w:val="auto"/>
              <w:rPr>
                <w:rFonts w:hint="default" w:ascii="Times New Roman" w:hAnsi="Times New Roman" w:eastAsia="仿宋" w:cs="Times New Roman"/>
                <w:b/>
                <w:bCs/>
                <w:color w:val="auto"/>
                <w:kern w:val="2"/>
                <w:sz w:val="24"/>
                <w:szCs w:val="24"/>
                <w:highlight w:val="none"/>
                <w:lang w:val="en-US" w:eastAsia="zh-CN" w:bidi="ar-SA"/>
              </w:rPr>
            </w:pPr>
            <w:r>
              <w:rPr>
                <w:rFonts w:hint="eastAsia" w:ascii="仿宋" w:hAnsi="仿宋" w:eastAsia="仿宋" w:cs="仿宋"/>
                <w:b/>
                <w:bCs/>
                <w:sz w:val="24"/>
              </w:rPr>
              <w:t>序号</w:t>
            </w:r>
          </w:p>
        </w:tc>
        <w:tc>
          <w:tcPr>
            <w:tcW w:w="1067" w:type="dxa"/>
            <w:vAlign w:val="center"/>
          </w:tcPr>
          <w:p w14:paraId="3DAB7747">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leftChars="0" w:right="0" w:rightChars="0"/>
              <w:jc w:val="center"/>
              <w:textAlignment w:val="auto"/>
              <w:rPr>
                <w:rFonts w:hint="default" w:ascii="Times New Roman" w:hAnsi="Times New Roman" w:eastAsia="仿宋" w:cs="Times New Roman"/>
                <w:b/>
                <w:bCs/>
                <w:color w:val="auto"/>
                <w:kern w:val="2"/>
                <w:sz w:val="24"/>
                <w:szCs w:val="24"/>
                <w:highlight w:val="none"/>
                <w:lang w:val="en-US" w:eastAsia="zh-CN" w:bidi="ar-SA"/>
              </w:rPr>
            </w:pPr>
            <w:r>
              <w:rPr>
                <w:rFonts w:hint="eastAsia" w:ascii="仿宋" w:hAnsi="仿宋" w:eastAsia="仿宋" w:cs="仿宋"/>
                <w:b/>
                <w:bCs/>
                <w:sz w:val="24"/>
              </w:rPr>
              <w:t>评分项</w:t>
            </w:r>
          </w:p>
        </w:tc>
        <w:tc>
          <w:tcPr>
            <w:tcW w:w="6405" w:type="dxa"/>
            <w:vAlign w:val="center"/>
          </w:tcPr>
          <w:p w14:paraId="03A7C2F3">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leftChars="0" w:right="0" w:rightChars="0"/>
              <w:jc w:val="center"/>
              <w:textAlignment w:val="auto"/>
              <w:rPr>
                <w:rFonts w:hint="default" w:ascii="Times New Roman" w:hAnsi="Times New Roman" w:eastAsia="仿宋" w:cs="Times New Roman"/>
                <w:b/>
                <w:bCs/>
                <w:color w:val="auto"/>
                <w:kern w:val="2"/>
                <w:sz w:val="24"/>
                <w:szCs w:val="24"/>
                <w:highlight w:val="none"/>
                <w:lang w:val="en-US" w:eastAsia="zh-CN" w:bidi="ar-SA"/>
              </w:rPr>
            </w:pPr>
            <w:r>
              <w:rPr>
                <w:rFonts w:hint="eastAsia" w:ascii="仿宋" w:hAnsi="仿宋" w:eastAsia="仿宋" w:cs="仿宋"/>
                <w:b/>
                <w:bCs/>
                <w:sz w:val="24"/>
              </w:rPr>
              <w:t>评分细则</w:t>
            </w:r>
          </w:p>
        </w:tc>
        <w:tc>
          <w:tcPr>
            <w:tcW w:w="861" w:type="dxa"/>
            <w:vAlign w:val="center"/>
          </w:tcPr>
          <w:p w14:paraId="3BB79A35">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leftChars="0" w:right="0" w:rightChars="0"/>
              <w:jc w:val="center"/>
              <w:textAlignment w:val="auto"/>
              <w:rPr>
                <w:rFonts w:hint="default" w:ascii="Times New Roman" w:hAnsi="Times New Roman" w:eastAsia="仿宋" w:cs="Times New Roman"/>
                <w:b/>
                <w:bCs/>
                <w:color w:val="auto"/>
                <w:kern w:val="2"/>
                <w:sz w:val="24"/>
                <w:szCs w:val="24"/>
                <w:highlight w:val="none"/>
                <w:lang w:val="en-US" w:eastAsia="zh-CN" w:bidi="ar-SA"/>
              </w:rPr>
            </w:pPr>
            <w:r>
              <w:rPr>
                <w:rFonts w:hint="eastAsia" w:ascii="仿宋" w:hAnsi="仿宋" w:eastAsia="仿宋" w:cs="仿宋"/>
                <w:b/>
                <w:bCs/>
                <w:sz w:val="24"/>
              </w:rPr>
              <w:t>分值（分）</w:t>
            </w:r>
          </w:p>
        </w:tc>
      </w:tr>
      <w:tr w14:paraId="4081B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15" w:hRule="atLeast"/>
        </w:trPr>
        <w:tc>
          <w:tcPr>
            <w:tcW w:w="722" w:type="dxa"/>
            <w:shd w:val="clear" w:color="auto" w:fill="auto"/>
            <w:vAlign w:val="center"/>
          </w:tcPr>
          <w:p w14:paraId="554057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val="en-US" w:eastAsia="zh-CN"/>
              </w:rPr>
              <w:t>1</w:t>
            </w:r>
          </w:p>
        </w:tc>
        <w:tc>
          <w:tcPr>
            <w:tcW w:w="1067" w:type="dxa"/>
            <w:shd w:val="clear" w:color="auto" w:fill="auto"/>
            <w:vAlign w:val="center"/>
          </w:tcPr>
          <w:p w14:paraId="17CC3AD0">
            <w:pPr>
              <w:pStyle w:val="22"/>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60" w:lineRule="auto"/>
              <w:ind w:left="0" w:leftChars="0" w:right="0"/>
              <w:jc w:val="center"/>
              <w:textAlignment w:val="auto"/>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val="en-US" w:eastAsia="zh-CN"/>
              </w:rPr>
              <w:t>需求响应情况</w:t>
            </w:r>
          </w:p>
        </w:tc>
        <w:tc>
          <w:tcPr>
            <w:tcW w:w="6405" w:type="dxa"/>
            <w:shd w:val="clear" w:color="auto" w:fill="auto"/>
            <w:vAlign w:val="center"/>
          </w:tcPr>
          <w:p w14:paraId="3127D8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采购</w:t>
            </w:r>
            <w:r>
              <w:rPr>
                <w:rFonts w:hint="default" w:ascii="Times New Roman" w:hAnsi="Times New Roman" w:eastAsia="仿宋" w:cs="Times New Roman"/>
                <w:color w:val="auto"/>
                <w:sz w:val="24"/>
                <w:szCs w:val="24"/>
                <w:highlight w:val="none"/>
                <w:lang w:val="en-US" w:eastAsia="zh-CN"/>
              </w:rPr>
              <w:t>需求中，满足招标文件</w:t>
            </w:r>
            <w:r>
              <w:rPr>
                <w:rFonts w:hint="eastAsia" w:ascii="Times New Roman" w:hAnsi="Times New Roman" w:eastAsia="仿宋" w:cs="Times New Roman"/>
                <w:color w:val="auto"/>
                <w:sz w:val="24"/>
                <w:szCs w:val="24"/>
                <w:highlight w:val="none"/>
                <w:lang w:val="en-US" w:eastAsia="zh-CN"/>
              </w:rPr>
              <w:t>第二章采购需求（服务需求和技术需求）</w:t>
            </w:r>
            <w:r>
              <w:rPr>
                <w:rFonts w:hint="default" w:ascii="Times New Roman" w:hAnsi="Times New Roman" w:eastAsia="仿宋" w:cs="Times New Roman"/>
                <w:color w:val="auto"/>
                <w:sz w:val="24"/>
                <w:szCs w:val="24"/>
                <w:highlight w:val="none"/>
                <w:lang w:val="en-US" w:eastAsia="zh-CN"/>
              </w:rPr>
              <w:t>明确的全部条款要求的，得满分；</w:t>
            </w:r>
            <w:r>
              <w:rPr>
                <w:rFonts w:hint="eastAsia" w:ascii="Times New Roman" w:hAnsi="Times New Roman" w:eastAsia="仿宋" w:cs="Times New Roman"/>
                <w:color w:val="auto"/>
                <w:sz w:val="24"/>
                <w:highlight w:val="none"/>
              </w:rPr>
              <w:t>供应商所投的产品技术参数不响应或负偏离的</w:t>
            </w:r>
            <w:r>
              <w:rPr>
                <w:rFonts w:hint="eastAsia" w:ascii="Times New Roman" w:hAnsi="Times New Roman" w:eastAsia="仿宋" w:cs="Times New Roman"/>
                <w:color w:val="auto"/>
                <w:sz w:val="24"/>
                <w:highlight w:val="none"/>
                <w:lang w:eastAsia="zh-CN"/>
              </w:rPr>
              <w:t>，</w:t>
            </w:r>
            <w:r>
              <w:rPr>
                <w:rFonts w:hint="eastAsia" w:ascii="Times New Roman" w:hAnsi="Times New Roman" w:eastAsia="仿宋" w:cs="Times New Roman"/>
                <w:color w:val="auto"/>
                <w:sz w:val="24"/>
                <w:highlight w:val="none"/>
              </w:rPr>
              <w:t>每一项在基本分基础上扣</w:t>
            </w:r>
            <w:r>
              <w:rPr>
                <w:rFonts w:hint="eastAsia" w:ascii="Times New Roman" w:hAnsi="Times New Roman" w:eastAsia="仿宋" w:cs="Times New Roman"/>
                <w:color w:val="auto"/>
                <w:sz w:val="24"/>
                <w:highlight w:val="none"/>
                <w:lang w:val="en-US" w:eastAsia="zh-CN"/>
              </w:rPr>
              <w:t>1</w:t>
            </w:r>
            <w:r>
              <w:rPr>
                <w:rFonts w:hint="eastAsia" w:ascii="Times New Roman" w:hAnsi="Times New Roman" w:eastAsia="仿宋" w:cs="Times New Roman"/>
                <w:color w:val="auto"/>
                <w:sz w:val="24"/>
                <w:highlight w:val="none"/>
              </w:rPr>
              <w:t>分</w:t>
            </w:r>
            <w:r>
              <w:rPr>
                <w:rFonts w:hint="eastAsia" w:ascii="Times New Roman" w:hAnsi="Times New Roman" w:eastAsia="仿宋" w:cs="Times New Roman"/>
                <w:color w:val="auto"/>
                <w:sz w:val="24"/>
                <w:highlight w:val="none"/>
                <w:lang w:eastAsia="zh-CN"/>
              </w:rPr>
              <w:t>，</w:t>
            </w:r>
            <w:r>
              <w:rPr>
                <w:rFonts w:hint="eastAsia" w:ascii="Times New Roman" w:hAnsi="Times New Roman" w:eastAsia="仿宋" w:cs="Times New Roman"/>
                <w:color w:val="auto"/>
                <w:sz w:val="24"/>
                <w:highlight w:val="none"/>
                <w:lang w:val="en-US" w:eastAsia="zh-CN"/>
              </w:rPr>
              <w:t>扣完为止。</w:t>
            </w:r>
          </w:p>
        </w:tc>
        <w:tc>
          <w:tcPr>
            <w:tcW w:w="861" w:type="dxa"/>
            <w:shd w:val="clear" w:color="auto" w:fill="auto"/>
            <w:vAlign w:val="center"/>
          </w:tcPr>
          <w:p w14:paraId="7920A8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eastAsia="仿宋" w:cs="Times New Roman"/>
                <w:b/>
                <w:bCs/>
                <w:color w:val="auto"/>
                <w:sz w:val="24"/>
                <w:szCs w:val="24"/>
                <w:highlight w:val="none"/>
                <w:lang w:val="en-US" w:eastAsia="zh-CN"/>
              </w:rPr>
            </w:pPr>
            <w:r>
              <w:rPr>
                <w:rFonts w:hint="eastAsia" w:ascii="Times New Roman" w:hAnsi="Times New Roman" w:eastAsia="仿宋" w:cs="Times New Roman"/>
                <w:b/>
                <w:bCs/>
                <w:color w:val="auto"/>
                <w:sz w:val="24"/>
                <w:szCs w:val="24"/>
                <w:highlight w:val="none"/>
                <w:lang w:val="en-US" w:eastAsia="zh-CN"/>
              </w:rPr>
              <w:t>20</w:t>
            </w:r>
          </w:p>
        </w:tc>
      </w:tr>
      <w:tr w14:paraId="048B7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22" w:type="dxa"/>
            <w:shd w:val="clear" w:color="auto" w:fill="auto"/>
            <w:vAlign w:val="center"/>
          </w:tcPr>
          <w:p w14:paraId="424FFF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仿宋" w:cs="Times New Roman"/>
                <w:b/>
                <w:bCs/>
                <w:color w:val="auto"/>
                <w:sz w:val="24"/>
                <w:szCs w:val="24"/>
                <w:highlight w:val="none"/>
                <w:lang w:val="en-US" w:eastAsia="zh-CN"/>
              </w:rPr>
            </w:pPr>
            <w:r>
              <w:rPr>
                <w:rFonts w:hint="eastAsia" w:ascii="Times New Roman" w:hAnsi="Times New Roman" w:eastAsia="仿宋" w:cs="Times New Roman"/>
                <w:b/>
                <w:bCs/>
                <w:color w:val="auto"/>
                <w:sz w:val="24"/>
                <w:szCs w:val="24"/>
                <w:highlight w:val="none"/>
                <w:lang w:val="en-US" w:eastAsia="zh-CN"/>
              </w:rPr>
              <w:t>2</w:t>
            </w:r>
          </w:p>
        </w:tc>
        <w:tc>
          <w:tcPr>
            <w:tcW w:w="1067" w:type="dxa"/>
            <w:shd w:val="clear" w:color="auto" w:fill="auto"/>
            <w:vAlign w:val="center"/>
          </w:tcPr>
          <w:p w14:paraId="55252C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jc w:val="center"/>
              <w:textAlignment w:val="auto"/>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val="en-US" w:eastAsia="zh-CN"/>
              </w:rPr>
              <w:t>实施方案</w:t>
            </w:r>
          </w:p>
        </w:tc>
        <w:tc>
          <w:tcPr>
            <w:tcW w:w="6405" w:type="dxa"/>
            <w:shd w:val="clear" w:color="auto" w:fill="auto"/>
            <w:vAlign w:val="center"/>
          </w:tcPr>
          <w:p w14:paraId="29E0B4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供应商</w:t>
            </w:r>
            <w:r>
              <w:rPr>
                <w:rFonts w:hint="eastAsia" w:ascii="Times New Roman" w:hAnsi="Times New Roman" w:eastAsia="仿宋" w:cs="Times New Roman"/>
                <w:b w:val="0"/>
                <w:bCs w:val="0"/>
                <w:color w:val="auto"/>
                <w:sz w:val="24"/>
                <w:szCs w:val="24"/>
                <w:highlight w:val="none"/>
                <w:lang w:val="en-US" w:eastAsia="zh-CN"/>
              </w:rPr>
              <w:t>在</w:t>
            </w:r>
            <w:r>
              <w:rPr>
                <w:rFonts w:hint="default" w:ascii="Times New Roman" w:hAnsi="Times New Roman" w:eastAsia="仿宋" w:cs="Times New Roman"/>
                <w:b w:val="0"/>
                <w:bCs w:val="0"/>
                <w:color w:val="auto"/>
                <w:sz w:val="24"/>
                <w:szCs w:val="24"/>
                <w:highlight w:val="none"/>
                <w:lang w:val="en-US" w:eastAsia="zh-CN"/>
              </w:rPr>
              <w:t>消防设施年度检测及消防安全评估过程中</w:t>
            </w:r>
            <w:r>
              <w:rPr>
                <w:rFonts w:hint="eastAsia" w:ascii="Times New Roman" w:hAnsi="Times New Roman" w:eastAsia="仿宋" w:cs="Times New Roman"/>
                <w:b w:val="0"/>
                <w:bCs w:val="0"/>
                <w:color w:val="auto"/>
                <w:sz w:val="24"/>
                <w:szCs w:val="24"/>
                <w:highlight w:val="none"/>
                <w:lang w:val="en-US" w:eastAsia="zh-CN"/>
              </w:rPr>
              <w:t>的</w:t>
            </w:r>
            <w:r>
              <w:rPr>
                <w:rFonts w:hint="default" w:ascii="Times New Roman" w:hAnsi="Times New Roman" w:eastAsia="仿宋" w:cs="Times New Roman"/>
                <w:b w:val="0"/>
                <w:bCs w:val="0"/>
                <w:color w:val="auto"/>
                <w:sz w:val="24"/>
                <w:szCs w:val="24"/>
                <w:highlight w:val="none"/>
                <w:lang w:val="en-US" w:eastAsia="zh-CN"/>
              </w:rPr>
              <w:t>技术实施方案</w:t>
            </w:r>
            <w:r>
              <w:rPr>
                <w:rFonts w:hint="eastAsia" w:ascii="Times New Roman" w:hAnsi="Times New Roman" w:eastAsia="仿宋" w:cs="Times New Roman"/>
                <w:b w:val="0"/>
                <w:bCs w:val="0"/>
                <w:color w:val="auto"/>
                <w:sz w:val="24"/>
                <w:szCs w:val="24"/>
                <w:highlight w:val="none"/>
                <w:lang w:val="en-US" w:eastAsia="zh-CN"/>
              </w:rPr>
              <w:t>：</w:t>
            </w:r>
            <w:r>
              <w:rPr>
                <w:rFonts w:hint="default" w:ascii="Times New Roman" w:hAnsi="Times New Roman" w:eastAsia="仿宋" w:cs="Times New Roman"/>
                <w:b w:val="0"/>
                <w:bCs w:val="0"/>
                <w:color w:val="auto"/>
                <w:sz w:val="24"/>
                <w:szCs w:val="24"/>
                <w:highlight w:val="none"/>
                <w:lang w:val="en-US" w:eastAsia="zh-CN"/>
              </w:rPr>
              <w:t>包括但不限于</w:t>
            </w:r>
            <w:r>
              <w:rPr>
                <w:rFonts w:hint="eastAsia" w:ascii="Times New Roman" w:hAnsi="Times New Roman" w:eastAsia="仿宋" w:cs="Times New Roman"/>
                <w:b w:val="0"/>
                <w:bCs w:val="0"/>
                <w:color w:val="auto"/>
                <w:sz w:val="24"/>
                <w:szCs w:val="24"/>
                <w:highlight w:val="none"/>
                <w:lang w:val="en-US" w:eastAsia="zh-CN"/>
              </w:rPr>
              <w:t>技术思路、工作方法、手段工作部署、项目进度安排、项目时间保证承诺、关键节点工期保证措施等。</w:t>
            </w:r>
          </w:p>
          <w:p w14:paraId="3915AC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（评分范围：</w:t>
            </w:r>
            <w:r>
              <w:rPr>
                <w:rFonts w:hint="eastAsia" w:ascii="Times New Roman" w:hAnsi="Times New Roman" w:eastAsia="仿宋" w:cs="Times New Roman"/>
                <w:b w:val="0"/>
                <w:bCs w:val="0"/>
                <w:color w:val="auto"/>
                <w:sz w:val="24"/>
                <w:szCs w:val="24"/>
                <w:highlight w:val="none"/>
                <w:lang w:val="en-US" w:eastAsia="zh-CN"/>
              </w:rPr>
              <w:t>8，7，6，5，4，3，2，1，0</w:t>
            </w:r>
            <w:r>
              <w:rPr>
                <w:rFonts w:hint="default" w:ascii="Times New Roman" w:hAnsi="Times New Roman" w:eastAsia="仿宋" w:cs="Times New Roman"/>
                <w:b w:val="0"/>
                <w:bCs w:val="0"/>
                <w:color w:val="auto"/>
                <w:sz w:val="24"/>
                <w:szCs w:val="24"/>
                <w:highlight w:val="none"/>
                <w:lang w:val="en-US" w:eastAsia="zh-CN"/>
              </w:rPr>
              <w:t>）</w:t>
            </w:r>
          </w:p>
        </w:tc>
        <w:tc>
          <w:tcPr>
            <w:tcW w:w="861" w:type="dxa"/>
            <w:shd w:val="clear" w:color="auto" w:fill="auto"/>
            <w:vAlign w:val="center"/>
          </w:tcPr>
          <w:p w14:paraId="4D646F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仿宋" w:cs="Times New Roman"/>
                <w:b/>
                <w:bCs/>
                <w:color w:val="auto"/>
                <w:sz w:val="24"/>
                <w:szCs w:val="24"/>
                <w:highlight w:val="none"/>
                <w:lang w:val="en-US" w:eastAsia="zh-CN"/>
              </w:rPr>
            </w:pPr>
            <w:r>
              <w:rPr>
                <w:rFonts w:hint="eastAsia" w:ascii="Times New Roman" w:hAnsi="Times New Roman" w:eastAsia="仿宋" w:cs="Times New Roman"/>
                <w:b/>
                <w:bCs/>
                <w:color w:val="auto"/>
                <w:sz w:val="24"/>
                <w:szCs w:val="24"/>
                <w:highlight w:val="none"/>
                <w:lang w:val="en-US" w:eastAsia="zh-CN"/>
              </w:rPr>
              <w:t>8</w:t>
            </w:r>
          </w:p>
        </w:tc>
      </w:tr>
      <w:tr w14:paraId="6FC87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22" w:type="dxa"/>
            <w:shd w:val="clear" w:color="auto" w:fill="auto"/>
            <w:vAlign w:val="center"/>
          </w:tcPr>
          <w:p w14:paraId="04AF20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仿宋" w:cs="Times New Roman"/>
                <w:b/>
                <w:bCs/>
                <w:color w:val="auto"/>
                <w:sz w:val="24"/>
                <w:szCs w:val="24"/>
                <w:highlight w:val="none"/>
                <w:lang w:val="en-US" w:eastAsia="zh-CN"/>
              </w:rPr>
            </w:pPr>
            <w:r>
              <w:rPr>
                <w:rFonts w:hint="eastAsia" w:ascii="Times New Roman" w:hAnsi="Times New Roman" w:eastAsia="仿宋" w:cs="Times New Roman"/>
                <w:b/>
                <w:bCs/>
                <w:color w:val="auto"/>
                <w:sz w:val="24"/>
                <w:szCs w:val="24"/>
                <w:highlight w:val="none"/>
                <w:lang w:val="en-US" w:eastAsia="zh-CN"/>
              </w:rPr>
              <w:t>3</w:t>
            </w:r>
          </w:p>
        </w:tc>
        <w:tc>
          <w:tcPr>
            <w:tcW w:w="1067" w:type="dxa"/>
            <w:shd w:val="clear" w:color="auto" w:fill="auto"/>
            <w:vAlign w:val="center"/>
          </w:tcPr>
          <w:p w14:paraId="569590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jc w:val="center"/>
              <w:textAlignment w:val="auto"/>
              <w:rPr>
                <w:rFonts w:hint="default" w:ascii="Times New Roman" w:hAnsi="Times New Roman" w:eastAsia="仿宋" w:cs="Times New Roman"/>
                <w:b/>
                <w:bCs/>
                <w:color w:val="auto"/>
                <w:sz w:val="24"/>
                <w:szCs w:val="24"/>
                <w:highlight w:val="none"/>
                <w:lang w:val="en-US" w:eastAsia="zh-CN"/>
              </w:rPr>
            </w:pPr>
            <w:r>
              <w:rPr>
                <w:rFonts w:hint="eastAsia" w:ascii="Times New Roman" w:hAnsi="Times New Roman" w:eastAsia="仿宋" w:cs="Times New Roman"/>
                <w:b/>
                <w:bCs/>
                <w:color w:val="auto"/>
                <w:sz w:val="24"/>
                <w:szCs w:val="24"/>
                <w:highlight w:val="none"/>
                <w:lang w:val="en-US" w:eastAsia="zh-CN"/>
              </w:rPr>
              <w:t>重难点分析</w:t>
            </w:r>
          </w:p>
        </w:tc>
        <w:tc>
          <w:tcPr>
            <w:tcW w:w="6405" w:type="dxa"/>
            <w:shd w:val="clear" w:color="auto" w:fill="auto"/>
            <w:vAlign w:val="center"/>
          </w:tcPr>
          <w:p w14:paraId="293A58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供应商对本项目总体要求的理解</w:t>
            </w:r>
            <w:r>
              <w:rPr>
                <w:rFonts w:hint="eastAsia" w:ascii="Times New Roman" w:hAnsi="Times New Roman" w:eastAsia="仿宋" w:cs="Times New Roman"/>
                <w:b w:val="0"/>
                <w:bCs w:val="0"/>
                <w:color w:val="auto"/>
                <w:sz w:val="24"/>
                <w:szCs w:val="24"/>
                <w:highlight w:val="none"/>
                <w:lang w:val="en-US" w:eastAsia="zh-CN"/>
              </w:rPr>
              <w:t>、</w:t>
            </w:r>
            <w:r>
              <w:rPr>
                <w:rFonts w:hint="default" w:ascii="Times New Roman" w:hAnsi="Times New Roman" w:eastAsia="仿宋" w:cs="Times New Roman"/>
                <w:b w:val="0"/>
                <w:bCs w:val="0"/>
                <w:color w:val="auto"/>
                <w:sz w:val="24"/>
                <w:szCs w:val="24"/>
                <w:highlight w:val="none"/>
                <w:lang w:val="en-US" w:eastAsia="zh-CN"/>
              </w:rPr>
              <w:t>需求分析</w:t>
            </w:r>
            <w:r>
              <w:rPr>
                <w:rFonts w:hint="eastAsia" w:ascii="Times New Roman" w:hAnsi="Times New Roman" w:eastAsia="仿宋" w:cs="Times New Roman"/>
                <w:b w:val="0"/>
                <w:bCs w:val="0"/>
                <w:color w:val="auto"/>
                <w:sz w:val="24"/>
                <w:szCs w:val="24"/>
                <w:highlight w:val="none"/>
                <w:lang w:val="en-US" w:eastAsia="zh-CN"/>
              </w:rPr>
              <w:t>、</w:t>
            </w:r>
            <w:r>
              <w:rPr>
                <w:rFonts w:hint="default" w:ascii="Times New Roman" w:hAnsi="Times New Roman" w:eastAsia="仿宋" w:cs="Times New Roman"/>
                <w:b w:val="0"/>
                <w:bCs w:val="0"/>
                <w:color w:val="auto"/>
                <w:sz w:val="24"/>
                <w:szCs w:val="24"/>
                <w:highlight w:val="none"/>
                <w:lang w:val="en-US" w:eastAsia="zh-CN"/>
              </w:rPr>
              <w:t>消防设施年度检测</w:t>
            </w:r>
            <w:r>
              <w:rPr>
                <w:rFonts w:hint="eastAsia" w:ascii="Times New Roman" w:hAnsi="Times New Roman" w:eastAsia="仿宋" w:cs="Times New Roman"/>
                <w:b w:val="0"/>
                <w:bCs w:val="0"/>
                <w:color w:val="auto"/>
                <w:sz w:val="24"/>
                <w:szCs w:val="24"/>
                <w:highlight w:val="none"/>
                <w:lang w:val="en-US" w:eastAsia="zh-CN"/>
              </w:rPr>
              <w:t>及</w:t>
            </w:r>
            <w:r>
              <w:rPr>
                <w:rFonts w:hint="default" w:ascii="Times New Roman" w:hAnsi="Times New Roman" w:eastAsia="仿宋" w:cs="Times New Roman"/>
                <w:b w:val="0"/>
                <w:bCs w:val="0"/>
                <w:color w:val="auto"/>
                <w:sz w:val="24"/>
                <w:szCs w:val="24"/>
                <w:highlight w:val="none"/>
                <w:lang w:val="en-US" w:eastAsia="zh-CN"/>
              </w:rPr>
              <w:t>消防安全评估的重点难点及主要应对措施方案。</w:t>
            </w:r>
          </w:p>
          <w:p w14:paraId="6A0715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（评分范围：8，7，6，5，4，3，2，1，0）</w:t>
            </w:r>
          </w:p>
        </w:tc>
        <w:tc>
          <w:tcPr>
            <w:tcW w:w="861" w:type="dxa"/>
            <w:shd w:val="clear" w:color="auto" w:fill="auto"/>
            <w:vAlign w:val="center"/>
          </w:tcPr>
          <w:p w14:paraId="4D81AD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仿宋" w:cs="Times New Roman"/>
                <w:b/>
                <w:bCs/>
                <w:color w:val="auto"/>
                <w:sz w:val="24"/>
                <w:szCs w:val="24"/>
                <w:highlight w:val="none"/>
                <w:lang w:val="en-US" w:eastAsia="zh-CN"/>
              </w:rPr>
            </w:pPr>
            <w:r>
              <w:rPr>
                <w:rFonts w:hint="eastAsia" w:ascii="Times New Roman" w:hAnsi="Times New Roman" w:eastAsia="仿宋" w:cs="Times New Roman"/>
                <w:b/>
                <w:bCs/>
                <w:color w:val="auto"/>
                <w:sz w:val="24"/>
                <w:szCs w:val="24"/>
                <w:highlight w:val="none"/>
                <w:lang w:val="en-US" w:eastAsia="zh-CN"/>
              </w:rPr>
              <w:t>8</w:t>
            </w:r>
          </w:p>
        </w:tc>
      </w:tr>
      <w:tr w14:paraId="53F0C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22" w:type="dxa"/>
            <w:shd w:val="clear" w:color="auto" w:fill="auto"/>
            <w:vAlign w:val="center"/>
          </w:tcPr>
          <w:p w14:paraId="7D96E0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仿宋" w:cs="Times New Roman"/>
                <w:b/>
                <w:bCs/>
                <w:color w:val="auto"/>
                <w:sz w:val="24"/>
                <w:szCs w:val="24"/>
                <w:highlight w:val="none"/>
                <w:lang w:val="en-US" w:eastAsia="zh-CN"/>
              </w:rPr>
            </w:pPr>
            <w:r>
              <w:rPr>
                <w:rFonts w:hint="eastAsia" w:ascii="Times New Roman" w:hAnsi="Times New Roman" w:eastAsia="仿宋" w:cs="Times New Roman"/>
                <w:b/>
                <w:bCs/>
                <w:color w:val="auto"/>
                <w:sz w:val="24"/>
                <w:szCs w:val="24"/>
                <w:highlight w:val="none"/>
                <w:lang w:val="en-US" w:eastAsia="zh-CN"/>
              </w:rPr>
              <w:t>4</w:t>
            </w:r>
          </w:p>
        </w:tc>
        <w:tc>
          <w:tcPr>
            <w:tcW w:w="1067" w:type="dxa"/>
            <w:shd w:val="clear" w:color="auto" w:fill="auto"/>
            <w:vAlign w:val="center"/>
          </w:tcPr>
          <w:p w14:paraId="2AE146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jc w:val="center"/>
              <w:textAlignment w:val="auto"/>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bCs/>
                <w:color w:val="auto"/>
                <w:sz w:val="24"/>
                <w:highlight w:val="none"/>
              </w:rPr>
              <w:t>管理措施</w:t>
            </w:r>
          </w:p>
        </w:tc>
        <w:tc>
          <w:tcPr>
            <w:tcW w:w="6405" w:type="dxa"/>
            <w:shd w:val="clear" w:color="auto" w:fill="auto"/>
            <w:vAlign w:val="center"/>
          </w:tcPr>
          <w:p w14:paraId="326A0F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default" w:ascii="Times New Roman" w:hAnsi="Times New Roman" w:eastAsia="仿宋" w:cs="Times New Roman"/>
                <w:color w:val="auto"/>
                <w:sz w:val="24"/>
                <w:highlight w:val="none"/>
                <w:lang w:val="en-US" w:eastAsia="zh-CN"/>
              </w:rPr>
            </w:pPr>
            <w:r>
              <w:rPr>
                <w:rFonts w:hint="default" w:ascii="Times New Roman" w:hAnsi="Times New Roman" w:eastAsia="仿宋" w:cs="Times New Roman"/>
                <w:color w:val="auto"/>
                <w:sz w:val="24"/>
                <w:highlight w:val="none"/>
                <w:lang w:val="en-US" w:eastAsia="zh-CN"/>
              </w:rPr>
              <w:t>供应商的</w:t>
            </w:r>
            <w:r>
              <w:rPr>
                <w:rFonts w:hint="default" w:ascii="Times New Roman" w:hAnsi="Times New Roman" w:eastAsia="仿宋" w:cs="Times New Roman"/>
                <w:color w:val="auto"/>
                <w:sz w:val="24"/>
                <w:highlight w:val="none"/>
              </w:rPr>
              <w:t>管理措施</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lang w:val="en-US" w:eastAsia="zh-CN"/>
              </w:rPr>
              <w:t>包括但不限于</w:t>
            </w:r>
            <w:r>
              <w:rPr>
                <w:rFonts w:hint="default" w:ascii="Times New Roman" w:hAnsi="Times New Roman" w:eastAsia="仿宋" w:cs="Times New Roman"/>
                <w:color w:val="auto"/>
                <w:sz w:val="24"/>
                <w:highlight w:val="none"/>
              </w:rPr>
              <w:t>管理规范、组织制度，有明确的岗位职责、质量考核办法、奖惩措施</w:t>
            </w:r>
            <w:r>
              <w:rPr>
                <w:rFonts w:hint="eastAsia" w:ascii="Times New Roman" w:hAnsi="Times New Roman" w:eastAsia="仿宋" w:cs="Times New Roman"/>
                <w:color w:val="auto"/>
                <w:sz w:val="24"/>
                <w:highlight w:val="none"/>
                <w:lang w:val="en-US" w:eastAsia="zh-CN"/>
              </w:rPr>
              <w:t>等</w:t>
            </w:r>
            <w:r>
              <w:rPr>
                <w:rFonts w:hint="eastAsia" w:ascii="Times New Roman" w:hAnsi="Times New Roman" w:eastAsia="仿宋" w:cs="Times New Roman"/>
                <w:color w:val="auto"/>
                <w:sz w:val="24"/>
                <w:highlight w:val="none"/>
                <w:lang w:eastAsia="zh-CN"/>
              </w:rPr>
              <w:t>，</w:t>
            </w:r>
            <w:r>
              <w:rPr>
                <w:rFonts w:hint="eastAsia" w:ascii="Times New Roman" w:hAnsi="Times New Roman" w:eastAsia="仿宋" w:cs="Times New Roman"/>
                <w:color w:val="auto"/>
                <w:sz w:val="24"/>
                <w:highlight w:val="none"/>
                <w:lang w:val="en-US" w:eastAsia="zh-CN"/>
              </w:rPr>
              <w:t>服务管理流程，档案记录建立及指导整改方案</w:t>
            </w:r>
            <w:r>
              <w:rPr>
                <w:rFonts w:hint="default" w:ascii="Times New Roman" w:hAnsi="Times New Roman" w:eastAsia="仿宋" w:cs="Times New Roman"/>
                <w:color w:val="auto"/>
                <w:sz w:val="24"/>
                <w:highlight w:val="none"/>
                <w:lang w:val="en-US" w:eastAsia="zh-CN"/>
              </w:rPr>
              <w:t>等。</w:t>
            </w:r>
          </w:p>
          <w:p w14:paraId="1FD67C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default" w:ascii="Times New Roman" w:hAnsi="Times New Roman" w:eastAsia="仿宋" w:cs="Times New Roman"/>
                <w:color w:val="auto"/>
                <w:sz w:val="24"/>
                <w:highlight w:val="none"/>
                <w:lang w:val="en-US" w:eastAsia="zh-CN"/>
              </w:rPr>
            </w:pPr>
            <w:r>
              <w:rPr>
                <w:rFonts w:hint="default" w:ascii="Times New Roman" w:hAnsi="Times New Roman" w:eastAsia="仿宋" w:cs="Times New Roman"/>
                <w:color w:val="auto"/>
                <w:sz w:val="24"/>
                <w:highlight w:val="none"/>
                <w:lang w:val="en-US" w:eastAsia="zh-CN"/>
              </w:rPr>
              <w:t>（评分范围：8，7，6，5，4，3，2，1，0）</w:t>
            </w:r>
          </w:p>
        </w:tc>
        <w:tc>
          <w:tcPr>
            <w:tcW w:w="861" w:type="dxa"/>
            <w:shd w:val="clear" w:color="auto" w:fill="auto"/>
            <w:vAlign w:val="center"/>
          </w:tcPr>
          <w:p w14:paraId="454511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仿宋" w:cs="Times New Roman"/>
                <w:b/>
                <w:bCs/>
                <w:color w:val="auto"/>
                <w:sz w:val="24"/>
                <w:szCs w:val="24"/>
                <w:highlight w:val="none"/>
                <w:lang w:val="en-US" w:eastAsia="zh-CN"/>
              </w:rPr>
            </w:pPr>
            <w:r>
              <w:rPr>
                <w:rFonts w:hint="eastAsia" w:ascii="Times New Roman" w:hAnsi="Times New Roman" w:eastAsia="仿宋" w:cs="Times New Roman"/>
                <w:b/>
                <w:bCs/>
                <w:color w:val="auto"/>
                <w:sz w:val="24"/>
                <w:szCs w:val="24"/>
                <w:highlight w:val="none"/>
                <w:lang w:val="en-US" w:eastAsia="zh-CN"/>
              </w:rPr>
              <w:t>8</w:t>
            </w:r>
          </w:p>
        </w:tc>
      </w:tr>
      <w:tr w14:paraId="5F743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22" w:type="dxa"/>
            <w:vMerge w:val="restart"/>
            <w:shd w:val="clear" w:color="auto" w:fill="auto"/>
            <w:vAlign w:val="center"/>
          </w:tcPr>
          <w:p w14:paraId="27F3A5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仿宋" w:cs="Times New Roman"/>
                <w:b/>
                <w:bCs/>
                <w:color w:val="auto"/>
                <w:sz w:val="24"/>
                <w:szCs w:val="24"/>
                <w:highlight w:val="none"/>
                <w:lang w:val="en-US" w:eastAsia="zh-CN"/>
              </w:rPr>
            </w:pPr>
            <w:r>
              <w:rPr>
                <w:rFonts w:hint="eastAsia" w:ascii="Times New Roman" w:hAnsi="Times New Roman" w:eastAsia="仿宋" w:cs="Times New Roman"/>
                <w:b/>
                <w:bCs/>
                <w:color w:val="auto"/>
                <w:sz w:val="24"/>
                <w:szCs w:val="24"/>
                <w:highlight w:val="none"/>
                <w:lang w:val="en-US" w:eastAsia="zh-CN"/>
              </w:rPr>
              <w:t>5</w:t>
            </w:r>
          </w:p>
        </w:tc>
        <w:tc>
          <w:tcPr>
            <w:tcW w:w="1067" w:type="dxa"/>
            <w:vMerge w:val="restart"/>
            <w:shd w:val="clear" w:color="auto" w:fill="auto"/>
            <w:vAlign w:val="center"/>
          </w:tcPr>
          <w:p w14:paraId="1D118C7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jc w:val="center"/>
              <w:textAlignment w:val="auto"/>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val="en-US" w:eastAsia="zh-CN"/>
              </w:rPr>
              <w:t>项目拟派</w:t>
            </w:r>
            <w:r>
              <w:rPr>
                <w:rFonts w:hint="eastAsia" w:ascii="Times New Roman" w:hAnsi="Times New Roman" w:eastAsia="仿宋" w:cs="Times New Roman"/>
                <w:b/>
                <w:bCs/>
                <w:color w:val="auto"/>
                <w:sz w:val="24"/>
                <w:szCs w:val="24"/>
                <w:highlight w:val="none"/>
                <w:lang w:val="en-US" w:eastAsia="zh-CN"/>
              </w:rPr>
              <w:t>人员</w:t>
            </w:r>
          </w:p>
        </w:tc>
        <w:tc>
          <w:tcPr>
            <w:tcW w:w="6405" w:type="dxa"/>
            <w:shd w:val="clear" w:color="auto" w:fill="auto"/>
            <w:vAlign w:val="center"/>
          </w:tcPr>
          <w:p w14:paraId="18B330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Times New Roman" w:hAnsi="Times New Roman" w:eastAsia="仿宋" w:cs="Times New Roman"/>
                <w:color w:val="auto"/>
                <w:sz w:val="24"/>
                <w:highlight w:val="none"/>
                <w:lang w:eastAsia="zh-CN"/>
              </w:rPr>
            </w:pPr>
            <w:r>
              <w:rPr>
                <w:rFonts w:hint="default" w:ascii="Times New Roman" w:hAnsi="Times New Roman" w:eastAsia="仿宋" w:cs="Times New Roman"/>
                <w:color w:val="auto"/>
                <w:sz w:val="24"/>
                <w:highlight w:val="none"/>
              </w:rPr>
              <w:t>根据拟投入</w:t>
            </w:r>
            <w:r>
              <w:rPr>
                <w:rFonts w:hint="eastAsia" w:ascii="Times New Roman" w:hAnsi="Times New Roman" w:eastAsia="仿宋" w:cs="Times New Roman"/>
                <w:color w:val="auto"/>
                <w:sz w:val="24"/>
                <w:highlight w:val="none"/>
                <w:lang w:val="en-US" w:eastAsia="zh-CN"/>
              </w:rPr>
              <w:t>的服务团队成员</w:t>
            </w:r>
            <w:r>
              <w:rPr>
                <w:rFonts w:hint="default" w:ascii="Times New Roman" w:hAnsi="Times New Roman" w:eastAsia="仿宋" w:cs="Times New Roman"/>
                <w:color w:val="auto"/>
                <w:sz w:val="24"/>
                <w:highlight w:val="none"/>
              </w:rPr>
              <w:t>综合实力情况进行评审：包括但不限于</w:t>
            </w:r>
            <w:r>
              <w:rPr>
                <w:rFonts w:hint="eastAsia" w:ascii="Times New Roman" w:hAnsi="Times New Roman" w:eastAsia="仿宋" w:cs="Times New Roman"/>
                <w:color w:val="auto"/>
                <w:sz w:val="24"/>
                <w:highlight w:val="none"/>
                <w:lang w:val="en-US" w:eastAsia="zh-CN"/>
              </w:rPr>
              <w:t>人员数量、</w:t>
            </w:r>
            <w:r>
              <w:rPr>
                <w:rFonts w:hint="default" w:ascii="Times New Roman" w:hAnsi="Times New Roman" w:eastAsia="仿宋" w:cs="Times New Roman"/>
                <w:color w:val="auto"/>
                <w:sz w:val="24"/>
                <w:highlight w:val="none"/>
              </w:rPr>
              <w:t>工作履历、技术能力</w:t>
            </w:r>
            <w:r>
              <w:rPr>
                <w:rFonts w:hint="eastAsia" w:ascii="Times New Roman" w:hAnsi="Times New Roman" w:eastAsia="仿宋" w:cs="Times New Roman"/>
                <w:color w:val="auto"/>
                <w:sz w:val="24"/>
                <w:highlight w:val="none"/>
                <w:lang w:val="en-US" w:eastAsia="zh-CN"/>
              </w:rPr>
              <w:t>及相关技能证书</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rPr>
              <w:t>职称</w:t>
            </w:r>
            <w:r>
              <w:rPr>
                <w:rFonts w:hint="eastAsia" w:ascii="Times New Roman" w:hAnsi="Times New Roman" w:eastAsia="仿宋" w:cs="Times New Roman"/>
                <w:color w:val="auto"/>
                <w:sz w:val="24"/>
                <w:highlight w:val="none"/>
                <w:lang w:eastAsia="zh-CN"/>
              </w:rPr>
              <w:t>，</w:t>
            </w:r>
            <w:r>
              <w:rPr>
                <w:rFonts w:hint="eastAsia" w:ascii="Times New Roman" w:hAnsi="Times New Roman" w:eastAsia="仿宋" w:cs="Times New Roman"/>
                <w:color w:val="auto"/>
                <w:sz w:val="24"/>
                <w:highlight w:val="none"/>
                <w:lang w:val="en-US" w:eastAsia="zh-CN"/>
              </w:rPr>
              <w:t>同类</w:t>
            </w:r>
            <w:r>
              <w:rPr>
                <w:rFonts w:hint="default" w:ascii="Times New Roman" w:hAnsi="Times New Roman" w:eastAsia="仿宋" w:cs="Times New Roman"/>
                <w:color w:val="auto"/>
                <w:sz w:val="24"/>
                <w:highlight w:val="none"/>
              </w:rPr>
              <w:t>项目经验</w:t>
            </w:r>
            <w:r>
              <w:rPr>
                <w:rFonts w:hint="eastAsia" w:ascii="Times New Roman" w:hAnsi="Times New Roman" w:eastAsia="仿宋" w:cs="Times New Roman"/>
                <w:color w:val="auto"/>
                <w:sz w:val="24"/>
                <w:highlight w:val="none"/>
                <w:lang w:eastAsia="zh-CN"/>
              </w:rPr>
              <w:t>（</w:t>
            </w:r>
            <w:r>
              <w:rPr>
                <w:rFonts w:hint="eastAsia" w:ascii="Times New Roman" w:hAnsi="Times New Roman" w:eastAsia="仿宋" w:cs="Times New Roman"/>
                <w:color w:val="auto"/>
                <w:sz w:val="24"/>
                <w:highlight w:val="none"/>
                <w:lang w:val="en-US" w:eastAsia="zh-CN"/>
              </w:rPr>
              <w:t>消防设施年度检测、消防安全评估</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rPr>
              <w:t>等</w:t>
            </w:r>
            <w:r>
              <w:rPr>
                <w:rFonts w:hint="eastAsia" w:ascii="Times New Roman" w:hAnsi="Times New Roman" w:eastAsia="仿宋" w:cs="Times New Roman"/>
                <w:color w:val="auto"/>
                <w:sz w:val="24"/>
                <w:highlight w:val="none"/>
                <w:lang w:eastAsia="zh-CN"/>
              </w:rPr>
              <w:t>。</w:t>
            </w:r>
          </w:p>
          <w:p w14:paraId="0ACA5F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Times New Roman" w:hAnsi="Times New Roman" w:eastAsia="仿宋" w:cs="Times New Roman"/>
                <w:color w:val="auto"/>
                <w:sz w:val="24"/>
                <w:highlight w:val="none"/>
                <w:lang w:eastAsia="zh-CN"/>
              </w:rPr>
            </w:pPr>
            <w:r>
              <w:rPr>
                <w:rFonts w:hint="default" w:ascii="Times New Roman" w:hAnsi="Times New Roman" w:eastAsia="仿宋" w:cs="Times New Roman"/>
                <w:color w:val="auto"/>
                <w:sz w:val="24"/>
                <w:highlight w:val="none"/>
              </w:rPr>
              <w:t>（评分范围</w:t>
            </w:r>
            <w:r>
              <w:rPr>
                <w:rFonts w:hint="eastAsia" w:ascii="Times New Roman" w:hAnsi="Times New Roman" w:eastAsia="仿宋" w:cs="Times New Roman"/>
                <w:color w:val="auto"/>
                <w:sz w:val="24"/>
                <w:highlight w:val="none"/>
                <w:lang w:eastAsia="zh-CN"/>
              </w:rPr>
              <w:t>：8，7，</w:t>
            </w:r>
            <w:r>
              <w:rPr>
                <w:rFonts w:hint="default" w:ascii="Times New Roman" w:hAnsi="Times New Roman" w:eastAsia="仿宋" w:cs="Times New Roman"/>
                <w:color w:val="auto"/>
                <w:sz w:val="24"/>
                <w:highlight w:val="none"/>
              </w:rPr>
              <w:t>6，5，4，3，2，1，0）</w:t>
            </w:r>
          </w:p>
          <w:p w14:paraId="22942D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left"/>
              <w:textAlignment w:val="auto"/>
              <w:rPr>
                <w:rFonts w:hint="default" w:ascii="Times New Roman" w:hAnsi="Times New Roman" w:eastAsia="仿宋" w:cs="Times New Roman"/>
                <w:b w:val="0"/>
                <w:bCs w:val="0"/>
                <w:color w:val="auto"/>
                <w:sz w:val="24"/>
                <w:szCs w:val="24"/>
                <w:highlight w:val="none"/>
                <w:lang w:val="en-US" w:eastAsia="zh-CN"/>
              </w:rPr>
            </w:pPr>
            <w:r>
              <w:rPr>
                <w:rFonts w:hint="eastAsia" w:ascii="Times New Roman" w:hAnsi="Times New Roman" w:eastAsia="仿宋" w:cs="Times New Roman"/>
                <w:b/>
                <w:bCs/>
                <w:color w:val="auto"/>
                <w:sz w:val="24"/>
                <w:highlight w:val="none"/>
                <w:lang w:eastAsia="zh-CN"/>
              </w:rPr>
              <w:t>【</w:t>
            </w:r>
            <w:r>
              <w:rPr>
                <w:rFonts w:hint="default" w:ascii="Times New Roman" w:hAnsi="Times New Roman" w:eastAsia="仿宋" w:cs="Times New Roman"/>
                <w:b/>
                <w:bCs/>
                <w:color w:val="auto"/>
                <w:sz w:val="24"/>
                <w:highlight w:val="none"/>
              </w:rPr>
              <w:t>注：</w:t>
            </w:r>
            <w:r>
              <w:rPr>
                <w:rFonts w:hint="eastAsia" w:ascii="Times New Roman" w:hAnsi="Times New Roman" w:eastAsia="仿宋" w:cs="Times New Roman"/>
                <w:b/>
                <w:bCs/>
                <w:color w:val="auto"/>
                <w:sz w:val="24"/>
                <w:highlight w:val="none"/>
                <w:lang w:val="en-US" w:eastAsia="zh-CN"/>
              </w:rPr>
              <w:t>需</w:t>
            </w:r>
            <w:r>
              <w:rPr>
                <w:rFonts w:hint="default" w:ascii="Times New Roman" w:hAnsi="Times New Roman" w:eastAsia="仿宋" w:cs="Times New Roman"/>
                <w:b/>
                <w:bCs/>
                <w:color w:val="auto"/>
                <w:sz w:val="24"/>
                <w:highlight w:val="none"/>
              </w:rPr>
              <w:t>提供</w:t>
            </w:r>
            <w:r>
              <w:rPr>
                <w:rFonts w:hint="eastAsia" w:ascii="Times New Roman" w:hAnsi="Times New Roman" w:eastAsia="仿宋" w:cs="Times New Roman"/>
                <w:b/>
                <w:bCs/>
                <w:color w:val="auto"/>
                <w:sz w:val="24"/>
                <w:highlight w:val="none"/>
                <w:lang w:val="en-US" w:eastAsia="zh-CN"/>
              </w:rPr>
              <w:t>人员分工名单、</w:t>
            </w:r>
            <w:r>
              <w:rPr>
                <w:rFonts w:hint="default" w:ascii="Times New Roman" w:hAnsi="Times New Roman" w:eastAsia="仿宋" w:cs="Times New Roman"/>
                <w:b/>
                <w:bCs/>
                <w:color w:val="auto"/>
                <w:sz w:val="24"/>
                <w:highlight w:val="none"/>
              </w:rPr>
              <w:t>相关证书、同类项目合同复印件等</w:t>
            </w:r>
            <w:r>
              <w:rPr>
                <w:rFonts w:hint="eastAsia" w:ascii="Times New Roman" w:hAnsi="Times New Roman" w:eastAsia="仿宋" w:cs="Times New Roman"/>
                <w:b/>
                <w:bCs/>
                <w:color w:val="auto"/>
                <w:sz w:val="24"/>
                <w:highlight w:val="none"/>
                <w:lang w:val="en-US" w:eastAsia="zh-CN"/>
              </w:rPr>
              <w:t>证明</w:t>
            </w:r>
            <w:r>
              <w:rPr>
                <w:rFonts w:hint="default" w:ascii="Times New Roman" w:hAnsi="Times New Roman" w:eastAsia="仿宋" w:cs="Times New Roman"/>
                <w:b/>
                <w:bCs/>
                <w:color w:val="auto"/>
                <w:sz w:val="24"/>
                <w:highlight w:val="none"/>
              </w:rPr>
              <w:t>材料</w:t>
            </w:r>
            <w:r>
              <w:rPr>
                <w:rFonts w:hint="eastAsia" w:ascii="Times New Roman" w:hAnsi="Times New Roman" w:eastAsia="仿宋" w:cs="Times New Roman"/>
                <w:b/>
                <w:bCs/>
                <w:color w:val="auto"/>
                <w:sz w:val="24"/>
                <w:highlight w:val="none"/>
                <w:lang w:val="en-US" w:eastAsia="zh-CN"/>
              </w:rPr>
              <w:t>并盖公章</w:t>
            </w:r>
            <w:r>
              <w:rPr>
                <w:rFonts w:hint="eastAsia" w:ascii="Times New Roman" w:hAnsi="Times New Roman" w:eastAsia="仿宋" w:cs="Times New Roman"/>
                <w:b/>
                <w:bCs/>
                <w:color w:val="auto"/>
                <w:sz w:val="24"/>
                <w:highlight w:val="none"/>
                <w:lang w:eastAsia="zh-CN"/>
              </w:rPr>
              <w:t>；需提供以上人员在投标人单位近三个月内任一个月的社保缴纳证明材料。】</w:t>
            </w:r>
          </w:p>
        </w:tc>
        <w:tc>
          <w:tcPr>
            <w:tcW w:w="861" w:type="dxa"/>
            <w:shd w:val="clear" w:color="auto" w:fill="auto"/>
            <w:vAlign w:val="center"/>
          </w:tcPr>
          <w:p w14:paraId="462474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仿宋" w:cs="Times New Roman"/>
                <w:b/>
                <w:bCs/>
                <w:color w:val="auto"/>
                <w:sz w:val="24"/>
                <w:szCs w:val="24"/>
                <w:highlight w:val="none"/>
                <w:lang w:val="en-US" w:eastAsia="zh-CN"/>
              </w:rPr>
            </w:pPr>
            <w:r>
              <w:rPr>
                <w:rFonts w:hint="eastAsia" w:ascii="Times New Roman" w:hAnsi="Times New Roman" w:eastAsia="仿宋" w:cs="Times New Roman"/>
                <w:b/>
                <w:bCs/>
                <w:color w:val="auto"/>
                <w:sz w:val="24"/>
                <w:szCs w:val="24"/>
                <w:highlight w:val="none"/>
                <w:lang w:val="en-US" w:eastAsia="zh-CN"/>
              </w:rPr>
              <w:t>8</w:t>
            </w:r>
          </w:p>
        </w:tc>
      </w:tr>
      <w:tr w14:paraId="3D75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22" w:type="dxa"/>
            <w:vMerge w:val="continue"/>
            <w:shd w:val="clear" w:color="auto" w:fill="auto"/>
            <w:vAlign w:val="center"/>
          </w:tcPr>
          <w:p w14:paraId="7531A7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仿宋" w:cs="Times New Roman"/>
                <w:b/>
                <w:bCs/>
                <w:color w:val="auto"/>
                <w:sz w:val="24"/>
                <w:szCs w:val="24"/>
                <w:highlight w:val="none"/>
                <w:lang w:val="en-US" w:eastAsia="zh-CN"/>
              </w:rPr>
            </w:pPr>
          </w:p>
        </w:tc>
        <w:tc>
          <w:tcPr>
            <w:tcW w:w="1067" w:type="dxa"/>
            <w:vMerge w:val="continue"/>
            <w:shd w:val="clear" w:color="auto" w:fill="auto"/>
            <w:vAlign w:val="center"/>
          </w:tcPr>
          <w:p w14:paraId="10462D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jc w:val="center"/>
              <w:textAlignment w:val="auto"/>
              <w:rPr>
                <w:rFonts w:hint="default" w:ascii="Times New Roman" w:hAnsi="Times New Roman" w:eastAsia="仿宋" w:cs="Times New Roman"/>
                <w:b/>
                <w:bCs/>
                <w:color w:val="auto"/>
                <w:sz w:val="24"/>
                <w:szCs w:val="24"/>
                <w:highlight w:val="none"/>
                <w:lang w:val="en-US" w:eastAsia="zh-CN"/>
              </w:rPr>
            </w:pPr>
          </w:p>
        </w:tc>
        <w:tc>
          <w:tcPr>
            <w:tcW w:w="6405" w:type="dxa"/>
            <w:shd w:val="clear" w:color="auto" w:fill="auto"/>
            <w:vAlign w:val="center"/>
          </w:tcPr>
          <w:p w14:paraId="74D022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default" w:ascii="Times New Roman" w:hAnsi="Times New Roman" w:eastAsia="仿宋" w:cs="Times New Roman"/>
                <w:color w:val="auto"/>
                <w:sz w:val="24"/>
                <w:highlight w:val="none"/>
                <w:lang w:eastAsia="zh-CN"/>
              </w:rPr>
            </w:pPr>
            <w:r>
              <w:rPr>
                <w:rFonts w:hint="default" w:ascii="Times New Roman" w:hAnsi="Times New Roman" w:eastAsia="仿宋" w:cs="Times New Roman"/>
                <w:color w:val="auto"/>
                <w:sz w:val="24"/>
                <w:highlight w:val="none"/>
              </w:rPr>
              <w:t xml:space="preserve">拟派服务团队成员（不含项目负责人）具有一级注册消防工程师的，得 </w:t>
            </w:r>
            <w:r>
              <w:rPr>
                <w:rFonts w:hint="eastAsia" w:ascii="Times New Roman" w:hAnsi="Times New Roman" w:eastAsia="仿宋" w:cs="Times New Roman"/>
                <w:color w:val="auto"/>
                <w:sz w:val="24"/>
                <w:highlight w:val="none"/>
                <w:lang w:val="en-US" w:eastAsia="zh-CN"/>
              </w:rPr>
              <w:t>2</w:t>
            </w:r>
            <w:r>
              <w:rPr>
                <w:rFonts w:hint="default" w:ascii="Times New Roman" w:hAnsi="Times New Roman" w:eastAsia="仿宋" w:cs="Times New Roman"/>
                <w:color w:val="auto"/>
                <w:sz w:val="24"/>
                <w:highlight w:val="none"/>
              </w:rPr>
              <w:t xml:space="preserve"> 分，</w:t>
            </w:r>
            <w:r>
              <w:rPr>
                <w:rFonts w:hint="eastAsia" w:ascii="Times New Roman" w:hAnsi="Times New Roman" w:eastAsia="仿宋" w:cs="Times New Roman"/>
                <w:color w:val="auto"/>
                <w:sz w:val="24"/>
                <w:highlight w:val="none"/>
                <w:lang w:val="en-US" w:eastAsia="zh-CN"/>
              </w:rPr>
              <w:t>本项最多得4分</w:t>
            </w:r>
            <w:r>
              <w:rPr>
                <w:rFonts w:hint="default" w:ascii="Times New Roman" w:hAnsi="Times New Roman" w:eastAsia="仿宋" w:cs="Times New Roman"/>
                <w:color w:val="auto"/>
                <w:sz w:val="24"/>
                <w:highlight w:val="none"/>
              </w:rPr>
              <w:t>。</w:t>
            </w:r>
          </w:p>
          <w:p w14:paraId="6D5167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left"/>
              <w:textAlignment w:val="auto"/>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bCs/>
                <w:color w:val="auto"/>
                <w:sz w:val="24"/>
                <w:highlight w:val="none"/>
                <w:lang w:val="en-US" w:eastAsia="zh-CN"/>
              </w:rPr>
              <w:t>【注：需提供人员分工名单</w:t>
            </w:r>
            <w:r>
              <w:rPr>
                <w:rFonts w:hint="eastAsia" w:ascii="Times New Roman" w:hAnsi="Times New Roman" w:eastAsia="仿宋" w:cs="Times New Roman"/>
                <w:b/>
                <w:bCs/>
                <w:color w:val="auto"/>
                <w:sz w:val="24"/>
                <w:highlight w:val="none"/>
                <w:lang w:val="en-US" w:eastAsia="zh-CN"/>
              </w:rPr>
              <w:t>、</w:t>
            </w:r>
            <w:r>
              <w:rPr>
                <w:rFonts w:hint="default" w:ascii="Times New Roman" w:hAnsi="Times New Roman" w:eastAsia="仿宋" w:cs="Times New Roman"/>
                <w:b/>
                <w:bCs/>
                <w:color w:val="auto"/>
                <w:sz w:val="24"/>
                <w:highlight w:val="none"/>
                <w:lang w:val="en-US" w:eastAsia="zh-CN"/>
              </w:rPr>
              <w:t>相关证书并盖公章</w:t>
            </w:r>
            <w:r>
              <w:rPr>
                <w:rFonts w:hint="eastAsia" w:ascii="Times New Roman" w:hAnsi="Times New Roman" w:eastAsia="仿宋" w:cs="Times New Roman"/>
                <w:b/>
                <w:bCs/>
                <w:color w:val="auto"/>
                <w:sz w:val="24"/>
                <w:highlight w:val="none"/>
                <w:lang w:val="en-US" w:eastAsia="zh-CN"/>
              </w:rPr>
              <w:t>、</w:t>
            </w:r>
            <w:r>
              <w:rPr>
                <w:rFonts w:hint="default" w:ascii="Times New Roman" w:hAnsi="Times New Roman" w:eastAsia="仿宋" w:cs="Times New Roman"/>
                <w:b/>
                <w:bCs/>
                <w:color w:val="auto"/>
                <w:sz w:val="24"/>
                <w:highlight w:val="none"/>
                <w:lang w:val="en-US" w:eastAsia="zh-CN"/>
              </w:rPr>
              <w:t>在投标人单位近三个月内任一个月的社保缴纳证明材料</w:t>
            </w:r>
            <w:r>
              <w:rPr>
                <w:rFonts w:hint="eastAsia" w:ascii="Times New Roman" w:hAnsi="Times New Roman" w:eastAsia="仿宋" w:cs="Times New Roman"/>
                <w:b/>
                <w:bCs/>
                <w:color w:val="auto"/>
                <w:sz w:val="24"/>
                <w:highlight w:val="none"/>
                <w:lang w:val="en-US" w:eastAsia="zh-CN"/>
              </w:rPr>
              <w:t>。</w:t>
            </w:r>
            <w:r>
              <w:rPr>
                <w:rFonts w:hint="default" w:ascii="Times New Roman" w:hAnsi="Times New Roman" w:eastAsia="仿宋" w:cs="Times New Roman"/>
                <w:b/>
                <w:bCs/>
                <w:color w:val="auto"/>
                <w:sz w:val="24"/>
                <w:highlight w:val="none"/>
                <w:lang w:val="en-US" w:eastAsia="zh-CN"/>
              </w:rPr>
              <w:t>】</w:t>
            </w:r>
          </w:p>
        </w:tc>
        <w:tc>
          <w:tcPr>
            <w:tcW w:w="861" w:type="dxa"/>
            <w:shd w:val="clear" w:color="auto" w:fill="auto"/>
            <w:vAlign w:val="center"/>
          </w:tcPr>
          <w:p w14:paraId="456A0E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仿宋" w:cs="Times New Roman"/>
                <w:b/>
                <w:bCs/>
                <w:color w:val="auto"/>
                <w:sz w:val="24"/>
                <w:szCs w:val="24"/>
                <w:highlight w:val="none"/>
                <w:lang w:val="en-US" w:eastAsia="zh-CN"/>
              </w:rPr>
            </w:pPr>
            <w:r>
              <w:rPr>
                <w:rFonts w:hint="eastAsia" w:ascii="Times New Roman" w:hAnsi="Times New Roman" w:eastAsia="仿宋" w:cs="Times New Roman"/>
                <w:b/>
                <w:bCs/>
                <w:color w:val="auto"/>
                <w:sz w:val="24"/>
                <w:szCs w:val="24"/>
                <w:highlight w:val="none"/>
                <w:lang w:val="en-US" w:eastAsia="zh-CN"/>
              </w:rPr>
              <w:t>4</w:t>
            </w:r>
          </w:p>
        </w:tc>
      </w:tr>
      <w:tr w14:paraId="22551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22" w:type="dxa"/>
            <w:shd w:val="clear" w:color="auto" w:fill="auto"/>
            <w:vAlign w:val="center"/>
          </w:tcPr>
          <w:p w14:paraId="56ECE2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仿宋" w:cs="Times New Roman"/>
                <w:b/>
                <w:bCs/>
                <w:color w:val="auto"/>
                <w:sz w:val="24"/>
                <w:szCs w:val="24"/>
                <w:highlight w:val="none"/>
                <w:lang w:val="en-US" w:eastAsia="zh-CN"/>
              </w:rPr>
            </w:pPr>
            <w:r>
              <w:rPr>
                <w:rFonts w:hint="eastAsia" w:ascii="Times New Roman" w:hAnsi="Times New Roman" w:eastAsia="仿宋" w:cs="Times New Roman"/>
                <w:b/>
                <w:bCs/>
                <w:color w:val="auto"/>
                <w:sz w:val="24"/>
                <w:szCs w:val="24"/>
                <w:highlight w:val="none"/>
                <w:lang w:val="en-US" w:eastAsia="zh-CN"/>
              </w:rPr>
              <w:t>6</w:t>
            </w:r>
          </w:p>
        </w:tc>
        <w:tc>
          <w:tcPr>
            <w:tcW w:w="1067" w:type="dxa"/>
            <w:shd w:val="clear" w:color="auto" w:fill="auto"/>
            <w:vAlign w:val="center"/>
          </w:tcPr>
          <w:p w14:paraId="409156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jc w:val="center"/>
              <w:textAlignment w:val="auto"/>
              <w:rPr>
                <w:rFonts w:hint="default" w:ascii="Times New Roman" w:hAnsi="Times New Roman" w:eastAsia="仿宋" w:cs="Times New Roman"/>
                <w:b/>
                <w:bCs/>
                <w:color w:val="auto"/>
                <w:sz w:val="24"/>
                <w:szCs w:val="24"/>
                <w:highlight w:val="none"/>
                <w:lang w:val="en-US" w:eastAsia="zh-CN"/>
              </w:rPr>
            </w:pPr>
            <w:r>
              <w:rPr>
                <w:rFonts w:hint="eastAsia" w:ascii="Times New Roman" w:hAnsi="Times New Roman" w:eastAsia="仿宋" w:cs="Times New Roman"/>
                <w:b/>
                <w:bCs/>
                <w:color w:val="auto"/>
                <w:sz w:val="24"/>
                <w:szCs w:val="24"/>
                <w:highlight w:val="none"/>
                <w:lang w:val="en-US" w:eastAsia="zh-CN"/>
              </w:rPr>
              <w:t>培训方案</w:t>
            </w:r>
          </w:p>
        </w:tc>
        <w:tc>
          <w:tcPr>
            <w:tcW w:w="6405" w:type="dxa"/>
            <w:shd w:val="clear" w:color="auto" w:fill="auto"/>
            <w:vAlign w:val="center"/>
          </w:tcPr>
          <w:p w14:paraId="15D45D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default" w:ascii="Times New Roman" w:hAnsi="Times New Roman" w:eastAsia="仿宋" w:cs="Times New Roman"/>
                <w:b w:val="0"/>
                <w:bCs w:val="0"/>
                <w:color w:val="auto"/>
                <w:sz w:val="24"/>
                <w:szCs w:val="24"/>
                <w:highlight w:val="none"/>
                <w:lang w:val="en-US" w:eastAsia="zh-CN"/>
              </w:rPr>
            </w:pPr>
            <w:r>
              <w:rPr>
                <w:rFonts w:hint="eastAsia" w:ascii="Times New Roman" w:hAnsi="Times New Roman" w:eastAsia="仿宋" w:cs="Times New Roman"/>
                <w:b w:val="0"/>
                <w:bCs w:val="0"/>
                <w:color w:val="auto"/>
                <w:sz w:val="24"/>
                <w:szCs w:val="24"/>
                <w:highlight w:val="none"/>
                <w:lang w:val="en-US" w:eastAsia="zh-CN"/>
              </w:rPr>
              <w:t>供应商的</w:t>
            </w:r>
            <w:r>
              <w:rPr>
                <w:rFonts w:hint="default" w:ascii="Times New Roman" w:hAnsi="Times New Roman" w:eastAsia="仿宋" w:cs="Times New Roman"/>
                <w:b w:val="0"/>
                <w:bCs w:val="0"/>
                <w:color w:val="auto"/>
                <w:sz w:val="24"/>
                <w:szCs w:val="24"/>
                <w:highlight w:val="none"/>
                <w:lang w:val="en-US" w:eastAsia="zh-CN"/>
              </w:rPr>
              <w:t>培训</w:t>
            </w:r>
            <w:r>
              <w:rPr>
                <w:rFonts w:hint="eastAsia" w:ascii="Times New Roman" w:hAnsi="Times New Roman" w:eastAsia="仿宋" w:cs="Times New Roman"/>
                <w:b w:val="0"/>
                <w:bCs w:val="0"/>
                <w:color w:val="auto"/>
                <w:sz w:val="24"/>
                <w:szCs w:val="24"/>
                <w:highlight w:val="none"/>
                <w:lang w:val="en-US" w:eastAsia="zh-CN"/>
              </w:rPr>
              <w:t>方案：包括但不限于符合学校实际的消防培训内容，注意事项，重难点解析，技术与安全保障，开展频次，是否出具分析报告，资料留档方案，是否</w:t>
            </w:r>
            <w:r>
              <w:rPr>
                <w:rFonts w:hint="default" w:ascii="Times New Roman" w:hAnsi="Times New Roman" w:eastAsia="仿宋" w:cs="Times New Roman"/>
                <w:b w:val="0"/>
                <w:bCs w:val="0"/>
                <w:color w:val="auto"/>
                <w:sz w:val="24"/>
                <w:szCs w:val="24"/>
                <w:highlight w:val="none"/>
                <w:lang w:val="en-US" w:eastAsia="zh-CN"/>
              </w:rPr>
              <w:t>可实施有针对性</w:t>
            </w:r>
            <w:r>
              <w:rPr>
                <w:rFonts w:hint="eastAsia" w:ascii="Times New Roman" w:hAnsi="Times New Roman" w:eastAsia="仿宋" w:cs="Times New Roman"/>
                <w:b w:val="0"/>
                <w:bCs w:val="0"/>
                <w:color w:val="auto"/>
                <w:sz w:val="24"/>
                <w:szCs w:val="24"/>
                <w:highlight w:val="none"/>
                <w:lang w:val="en-US" w:eastAsia="zh-CN"/>
              </w:rPr>
              <w:t>等</w:t>
            </w:r>
            <w:r>
              <w:rPr>
                <w:rFonts w:hint="default" w:ascii="Times New Roman" w:hAnsi="Times New Roman" w:eastAsia="仿宋" w:cs="Times New Roman"/>
                <w:b w:val="0"/>
                <w:bCs w:val="0"/>
                <w:color w:val="auto"/>
                <w:sz w:val="24"/>
                <w:szCs w:val="24"/>
                <w:highlight w:val="none"/>
                <w:lang w:val="en-US" w:eastAsia="zh-CN"/>
              </w:rPr>
              <w:t>。</w:t>
            </w:r>
          </w:p>
          <w:p w14:paraId="70DDFF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（评分范围：</w:t>
            </w:r>
            <w:r>
              <w:rPr>
                <w:rFonts w:hint="eastAsia" w:ascii="Times New Roman" w:hAnsi="Times New Roman" w:eastAsia="仿宋" w:cs="Times New Roman"/>
                <w:b w:val="0"/>
                <w:bCs w:val="0"/>
                <w:color w:val="auto"/>
                <w:sz w:val="24"/>
                <w:szCs w:val="24"/>
                <w:highlight w:val="none"/>
                <w:lang w:val="en-US" w:eastAsia="zh-CN"/>
              </w:rPr>
              <w:t>8，</w:t>
            </w:r>
            <w:r>
              <w:rPr>
                <w:rFonts w:hint="default" w:ascii="Times New Roman" w:hAnsi="Times New Roman" w:eastAsia="仿宋" w:cs="Times New Roman"/>
                <w:b w:val="0"/>
                <w:bCs w:val="0"/>
                <w:color w:val="auto"/>
                <w:sz w:val="24"/>
                <w:szCs w:val="24"/>
                <w:highlight w:val="none"/>
                <w:lang w:val="en-US" w:eastAsia="zh-CN"/>
              </w:rPr>
              <w:t>7，6，5，4，3，2，1，0）</w:t>
            </w:r>
          </w:p>
        </w:tc>
        <w:tc>
          <w:tcPr>
            <w:tcW w:w="861" w:type="dxa"/>
            <w:shd w:val="clear" w:color="auto" w:fill="auto"/>
            <w:vAlign w:val="center"/>
          </w:tcPr>
          <w:p w14:paraId="674409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仿宋" w:cs="Times New Roman"/>
                <w:b/>
                <w:bCs/>
                <w:color w:val="auto"/>
                <w:sz w:val="24"/>
                <w:szCs w:val="24"/>
                <w:highlight w:val="none"/>
                <w:lang w:val="en-US" w:eastAsia="zh-CN"/>
              </w:rPr>
            </w:pPr>
            <w:r>
              <w:rPr>
                <w:rFonts w:hint="eastAsia" w:ascii="Times New Roman" w:hAnsi="Times New Roman" w:eastAsia="仿宋" w:cs="Times New Roman"/>
                <w:b/>
                <w:bCs/>
                <w:color w:val="auto"/>
                <w:sz w:val="24"/>
                <w:szCs w:val="24"/>
                <w:highlight w:val="none"/>
                <w:lang w:val="en-US" w:eastAsia="zh-CN"/>
              </w:rPr>
              <w:t>8</w:t>
            </w:r>
          </w:p>
        </w:tc>
      </w:tr>
      <w:tr w14:paraId="58D3C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22" w:type="dxa"/>
            <w:shd w:val="clear" w:color="auto" w:fill="auto"/>
            <w:vAlign w:val="center"/>
          </w:tcPr>
          <w:p w14:paraId="1B1597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仿宋" w:cs="Times New Roman"/>
                <w:b/>
                <w:bCs/>
                <w:color w:val="auto"/>
                <w:sz w:val="24"/>
                <w:szCs w:val="24"/>
                <w:highlight w:val="none"/>
                <w:lang w:val="en-US" w:eastAsia="zh-CN"/>
              </w:rPr>
            </w:pPr>
            <w:r>
              <w:rPr>
                <w:rFonts w:hint="eastAsia" w:ascii="Times New Roman" w:hAnsi="Times New Roman" w:eastAsia="仿宋" w:cs="Times New Roman"/>
                <w:b/>
                <w:bCs/>
                <w:color w:val="auto"/>
                <w:sz w:val="24"/>
                <w:szCs w:val="24"/>
                <w:highlight w:val="none"/>
                <w:lang w:val="en-US" w:eastAsia="zh-CN"/>
              </w:rPr>
              <w:t>7</w:t>
            </w:r>
          </w:p>
        </w:tc>
        <w:tc>
          <w:tcPr>
            <w:tcW w:w="1067" w:type="dxa"/>
            <w:shd w:val="clear" w:color="auto" w:fill="auto"/>
            <w:vAlign w:val="center"/>
          </w:tcPr>
          <w:p w14:paraId="593559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jc w:val="center"/>
              <w:textAlignment w:val="auto"/>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val="en-US" w:eastAsia="zh-CN"/>
              </w:rPr>
              <w:t>应急预案</w:t>
            </w:r>
          </w:p>
        </w:tc>
        <w:tc>
          <w:tcPr>
            <w:tcW w:w="6405" w:type="dxa"/>
            <w:shd w:val="clear" w:color="auto" w:fill="auto"/>
            <w:vAlign w:val="center"/>
          </w:tcPr>
          <w:p w14:paraId="0E36D1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供应商对消防设施年度检测、消防安全评估服务保障应急预案，方案对可能遇到的问题</w:t>
            </w:r>
            <w:r>
              <w:rPr>
                <w:rFonts w:hint="eastAsia" w:ascii="Times New Roman" w:hAnsi="Times New Roman" w:eastAsia="仿宋" w:cs="Times New Roman"/>
                <w:b w:val="0"/>
                <w:bCs w:val="0"/>
                <w:color w:val="auto"/>
                <w:sz w:val="24"/>
                <w:szCs w:val="24"/>
                <w:highlight w:val="none"/>
                <w:lang w:val="en-US" w:eastAsia="zh-CN"/>
              </w:rPr>
              <w:t>：</w:t>
            </w:r>
            <w:r>
              <w:rPr>
                <w:rFonts w:hint="default" w:ascii="Times New Roman" w:hAnsi="Times New Roman" w:eastAsia="仿宋" w:cs="Times New Roman"/>
                <w:b w:val="0"/>
                <w:bCs w:val="0"/>
                <w:color w:val="auto"/>
                <w:sz w:val="24"/>
                <w:szCs w:val="24"/>
                <w:highlight w:val="none"/>
                <w:lang w:val="en-US" w:eastAsia="zh-CN"/>
              </w:rPr>
              <w:t>包括但不限于环境因素、突发事件、重大节假日，雨雪、台风恶劣天气等</w:t>
            </w:r>
            <w:r>
              <w:rPr>
                <w:rFonts w:hint="eastAsia" w:ascii="Times New Roman" w:hAnsi="Times New Roman" w:eastAsia="仿宋" w:cs="Times New Roman"/>
                <w:b w:val="0"/>
                <w:bCs w:val="0"/>
                <w:color w:val="auto"/>
                <w:sz w:val="24"/>
                <w:szCs w:val="24"/>
                <w:highlight w:val="none"/>
                <w:lang w:val="en-US" w:eastAsia="zh-CN"/>
              </w:rPr>
              <w:t>，</w:t>
            </w:r>
            <w:r>
              <w:rPr>
                <w:rFonts w:hint="default" w:ascii="Times New Roman" w:hAnsi="Times New Roman" w:eastAsia="仿宋" w:cs="Times New Roman"/>
                <w:b w:val="0"/>
                <w:bCs w:val="0"/>
                <w:color w:val="auto"/>
                <w:sz w:val="24"/>
                <w:szCs w:val="24"/>
                <w:highlight w:val="none"/>
                <w:lang w:val="en-US" w:eastAsia="zh-CN"/>
              </w:rPr>
              <w:t>及其应对措施或补救措施的考虑情况</w:t>
            </w:r>
            <w:r>
              <w:rPr>
                <w:rFonts w:hint="eastAsia" w:ascii="Times New Roman" w:hAnsi="Times New Roman" w:eastAsia="仿宋" w:cs="Times New Roman"/>
                <w:b w:val="0"/>
                <w:bCs w:val="0"/>
                <w:color w:val="auto"/>
                <w:sz w:val="24"/>
                <w:szCs w:val="24"/>
                <w:highlight w:val="none"/>
                <w:lang w:val="en-US" w:eastAsia="zh-CN"/>
              </w:rPr>
              <w:t>，方案内容是否</w:t>
            </w:r>
            <w:r>
              <w:rPr>
                <w:rFonts w:hint="default" w:ascii="Times New Roman" w:hAnsi="Times New Roman" w:eastAsia="仿宋" w:cs="Times New Roman"/>
                <w:b w:val="0"/>
                <w:bCs w:val="0"/>
                <w:color w:val="auto"/>
                <w:sz w:val="24"/>
                <w:szCs w:val="24"/>
                <w:highlight w:val="none"/>
                <w:lang w:val="en-US" w:eastAsia="zh-CN"/>
              </w:rPr>
              <w:t>完整详细具备针对性及可行性，</w:t>
            </w:r>
            <w:r>
              <w:rPr>
                <w:rFonts w:hint="eastAsia" w:ascii="Times New Roman" w:hAnsi="Times New Roman" w:eastAsia="仿宋" w:cs="Times New Roman"/>
                <w:b w:val="0"/>
                <w:bCs w:val="0"/>
                <w:color w:val="auto"/>
                <w:sz w:val="24"/>
                <w:szCs w:val="24"/>
                <w:highlight w:val="none"/>
                <w:lang w:val="en-US" w:eastAsia="zh-CN"/>
              </w:rPr>
              <w:t>是否</w:t>
            </w:r>
            <w:r>
              <w:rPr>
                <w:rFonts w:hint="default" w:ascii="Times New Roman" w:hAnsi="Times New Roman" w:eastAsia="仿宋" w:cs="Times New Roman"/>
                <w:b w:val="0"/>
                <w:bCs w:val="0"/>
                <w:color w:val="auto"/>
                <w:sz w:val="24"/>
                <w:szCs w:val="24"/>
                <w:highlight w:val="none"/>
                <w:lang w:val="en-US" w:eastAsia="zh-CN"/>
              </w:rPr>
              <w:t>各项措施考虑到位</w:t>
            </w:r>
            <w:r>
              <w:rPr>
                <w:rFonts w:hint="eastAsia" w:ascii="Times New Roman" w:hAnsi="Times New Roman" w:eastAsia="仿宋" w:cs="Times New Roman"/>
                <w:b w:val="0"/>
                <w:bCs w:val="0"/>
                <w:color w:val="auto"/>
                <w:sz w:val="24"/>
                <w:szCs w:val="24"/>
                <w:highlight w:val="none"/>
                <w:lang w:val="en-US" w:eastAsia="zh-CN"/>
              </w:rPr>
              <w:t>、</w:t>
            </w:r>
            <w:r>
              <w:rPr>
                <w:rFonts w:hint="default" w:ascii="Times New Roman" w:hAnsi="Times New Roman" w:eastAsia="仿宋" w:cs="Times New Roman"/>
                <w:b w:val="0"/>
                <w:bCs w:val="0"/>
                <w:color w:val="auto"/>
                <w:sz w:val="24"/>
                <w:szCs w:val="24"/>
                <w:highlight w:val="none"/>
                <w:lang w:val="en-US" w:eastAsia="zh-CN"/>
              </w:rPr>
              <w:t>满足采购人实施要求</w:t>
            </w:r>
            <w:r>
              <w:rPr>
                <w:rFonts w:hint="eastAsia" w:ascii="Times New Roman" w:hAnsi="Times New Roman" w:eastAsia="仿宋" w:cs="Times New Roman"/>
                <w:b w:val="0"/>
                <w:bCs w:val="0"/>
                <w:color w:val="auto"/>
                <w:sz w:val="24"/>
                <w:szCs w:val="24"/>
                <w:highlight w:val="none"/>
                <w:lang w:val="en-US" w:eastAsia="zh-CN"/>
              </w:rPr>
              <w:t>等</w:t>
            </w:r>
            <w:r>
              <w:rPr>
                <w:rFonts w:hint="default" w:ascii="Times New Roman" w:hAnsi="Times New Roman" w:eastAsia="仿宋" w:cs="Times New Roman"/>
                <w:b w:val="0"/>
                <w:bCs w:val="0"/>
                <w:color w:val="auto"/>
                <w:sz w:val="24"/>
                <w:szCs w:val="24"/>
                <w:highlight w:val="none"/>
                <w:lang w:val="en-US" w:eastAsia="zh-CN"/>
              </w:rPr>
              <w:t>。</w:t>
            </w:r>
          </w:p>
          <w:p w14:paraId="72BE9D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（评分范围：8，7，6，5，4，3，2，1，0）</w:t>
            </w:r>
          </w:p>
        </w:tc>
        <w:tc>
          <w:tcPr>
            <w:tcW w:w="861" w:type="dxa"/>
            <w:shd w:val="clear" w:color="auto" w:fill="auto"/>
            <w:vAlign w:val="center"/>
          </w:tcPr>
          <w:p w14:paraId="1E4D2E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仿宋" w:cs="Times New Roman"/>
                <w:b/>
                <w:bCs/>
                <w:color w:val="auto"/>
                <w:sz w:val="24"/>
                <w:szCs w:val="24"/>
                <w:highlight w:val="none"/>
                <w:lang w:val="en-US" w:eastAsia="zh-CN"/>
              </w:rPr>
            </w:pPr>
            <w:r>
              <w:rPr>
                <w:rFonts w:hint="eastAsia" w:ascii="Times New Roman" w:hAnsi="Times New Roman" w:eastAsia="仿宋" w:cs="Times New Roman"/>
                <w:b/>
                <w:bCs/>
                <w:color w:val="auto"/>
                <w:sz w:val="24"/>
                <w:szCs w:val="24"/>
                <w:highlight w:val="none"/>
                <w:lang w:val="en-US" w:eastAsia="zh-CN"/>
              </w:rPr>
              <w:t>8</w:t>
            </w:r>
          </w:p>
        </w:tc>
      </w:tr>
      <w:tr w14:paraId="7B3AC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22" w:type="dxa"/>
            <w:shd w:val="clear" w:color="auto" w:fill="auto"/>
            <w:vAlign w:val="center"/>
          </w:tcPr>
          <w:p w14:paraId="66FDD4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仿宋" w:cs="Times New Roman"/>
                <w:b/>
                <w:bCs/>
                <w:color w:val="auto"/>
                <w:sz w:val="24"/>
                <w:szCs w:val="24"/>
                <w:highlight w:val="none"/>
                <w:lang w:val="en-US" w:eastAsia="zh-CN"/>
              </w:rPr>
            </w:pPr>
            <w:r>
              <w:rPr>
                <w:rFonts w:hint="eastAsia" w:ascii="Times New Roman" w:hAnsi="Times New Roman" w:eastAsia="仿宋" w:cs="Times New Roman"/>
                <w:b/>
                <w:bCs/>
                <w:color w:val="auto"/>
                <w:sz w:val="24"/>
                <w:szCs w:val="24"/>
                <w:highlight w:val="none"/>
                <w:lang w:val="en-US" w:eastAsia="zh-CN"/>
              </w:rPr>
              <w:t>8</w:t>
            </w:r>
          </w:p>
        </w:tc>
        <w:tc>
          <w:tcPr>
            <w:tcW w:w="1067" w:type="dxa"/>
            <w:shd w:val="clear" w:color="auto" w:fill="auto"/>
            <w:vAlign w:val="center"/>
          </w:tcPr>
          <w:p w14:paraId="32D40F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jc w:val="center"/>
              <w:textAlignment w:val="auto"/>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val="en-US" w:eastAsia="zh-CN"/>
              </w:rPr>
              <w:t>设备配备</w:t>
            </w:r>
          </w:p>
        </w:tc>
        <w:tc>
          <w:tcPr>
            <w:tcW w:w="6405" w:type="dxa"/>
            <w:shd w:val="clear" w:color="auto" w:fill="auto"/>
            <w:vAlign w:val="center"/>
          </w:tcPr>
          <w:p w14:paraId="59969F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根据供应商针对本项目的所需的设备配备情况，设备配备的完善情况，设备的先进程度，设备的实用性进行综合评价。</w:t>
            </w:r>
          </w:p>
          <w:p w14:paraId="2F92B4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（评分范围：8，7，6，5，4，3，2，1，0）</w:t>
            </w:r>
          </w:p>
        </w:tc>
        <w:tc>
          <w:tcPr>
            <w:tcW w:w="861" w:type="dxa"/>
            <w:shd w:val="clear" w:color="auto" w:fill="auto"/>
            <w:vAlign w:val="center"/>
          </w:tcPr>
          <w:p w14:paraId="6417FB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仿宋" w:cs="Times New Roman"/>
                <w:b/>
                <w:bCs/>
                <w:color w:val="auto"/>
                <w:sz w:val="24"/>
                <w:szCs w:val="24"/>
                <w:highlight w:val="none"/>
                <w:lang w:val="en-US" w:eastAsia="zh-CN"/>
              </w:rPr>
            </w:pPr>
            <w:r>
              <w:rPr>
                <w:rFonts w:hint="eastAsia" w:ascii="Times New Roman" w:hAnsi="Times New Roman" w:eastAsia="仿宋" w:cs="Times New Roman"/>
                <w:b/>
                <w:bCs/>
                <w:color w:val="auto"/>
                <w:sz w:val="24"/>
                <w:szCs w:val="24"/>
                <w:highlight w:val="none"/>
                <w:lang w:val="en-US" w:eastAsia="zh-CN"/>
              </w:rPr>
              <w:t>8</w:t>
            </w:r>
          </w:p>
        </w:tc>
      </w:tr>
      <w:tr w14:paraId="36100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22" w:type="dxa"/>
            <w:shd w:val="clear" w:color="auto" w:fill="auto"/>
            <w:vAlign w:val="center"/>
          </w:tcPr>
          <w:p w14:paraId="35DAD6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仿宋" w:cs="Times New Roman"/>
                <w:b/>
                <w:bCs/>
                <w:color w:val="auto"/>
                <w:sz w:val="24"/>
                <w:szCs w:val="24"/>
                <w:highlight w:val="none"/>
                <w:lang w:val="en-US" w:eastAsia="zh-CN"/>
              </w:rPr>
            </w:pPr>
            <w:r>
              <w:rPr>
                <w:rFonts w:hint="eastAsia" w:ascii="Times New Roman" w:hAnsi="Times New Roman" w:eastAsia="仿宋" w:cs="Times New Roman"/>
                <w:b/>
                <w:bCs/>
                <w:color w:val="auto"/>
                <w:sz w:val="24"/>
                <w:szCs w:val="24"/>
                <w:highlight w:val="none"/>
                <w:lang w:val="en-US" w:eastAsia="zh-CN"/>
              </w:rPr>
              <w:t>9</w:t>
            </w:r>
          </w:p>
        </w:tc>
        <w:tc>
          <w:tcPr>
            <w:tcW w:w="1067" w:type="dxa"/>
            <w:shd w:val="clear" w:color="auto" w:fill="auto"/>
            <w:vAlign w:val="center"/>
          </w:tcPr>
          <w:p w14:paraId="140C50A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jc w:val="center"/>
              <w:textAlignment w:val="auto"/>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val="en-US" w:eastAsia="zh-CN"/>
              </w:rPr>
              <w:t>合理化建议</w:t>
            </w:r>
          </w:p>
        </w:tc>
        <w:tc>
          <w:tcPr>
            <w:tcW w:w="6405" w:type="dxa"/>
            <w:shd w:val="clear" w:color="auto" w:fill="auto"/>
            <w:vAlign w:val="center"/>
          </w:tcPr>
          <w:p w14:paraId="64B43D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 xml:space="preserve">请结合本项目的特点，谈谈对本项目后续的消防管理、消防设施设备维护等方面的认识，并根据本项目的特点提出建议的合理性。有效建议和措施每项得 </w:t>
            </w:r>
            <w:r>
              <w:rPr>
                <w:rFonts w:hint="eastAsia" w:ascii="Times New Roman" w:hAnsi="Times New Roman" w:eastAsia="仿宋" w:cs="Times New Roman"/>
                <w:b w:val="0"/>
                <w:bCs w:val="0"/>
                <w:color w:val="auto"/>
                <w:sz w:val="24"/>
                <w:szCs w:val="24"/>
                <w:highlight w:val="none"/>
                <w:lang w:val="en-US" w:eastAsia="zh-CN"/>
              </w:rPr>
              <w:t>2</w:t>
            </w:r>
            <w:r>
              <w:rPr>
                <w:rFonts w:hint="default" w:ascii="Times New Roman" w:hAnsi="Times New Roman" w:eastAsia="仿宋" w:cs="Times New Roman"/>
                <w:b w:val="0"/>
                <w:bCs w:val="0"/>
                <w:color w:val="auto"/>
                <w:sz w:val="24"/>
                <w:szCs w:val="24"/>
                <w:highlight w:val="none"/>
                <w:lang w:val="en-US" w:eastAsia="zh-CN"/>
              </w:rPr>
              <w:t>分，最高得</w:t>
            </w:r>
            <w:r>
              <w:rPr>
                <w:rFonts w:hint="eastAsia" w:ascii="Times New Roman" w:hAnsi="Times New Roman" w:eastAsia="仿宋" w:cs="Times New Roman"/>
                <w:b w:val="0"/>
                <w:bCs w:val="0"/>
                <w:color w:val="auto"/>
                <w:sz w:val="24"/>
                <w:szCs w:val="24"/>
                <w:highlight w:val="none"/>
                <w:lang w:val="en-US" w:eastAsia="zh-CN"/>
              </w:rPr>
              <w:t>6</w:t>
            </w:r>
            <w:r>
              <w:rPr>
                <w:rFonts w:hint="default" w:ascii="Times New Roman" w:hAnsi="Times New Roman" w:eastAsia="仿宋" w:cs="Times New Roman"/>
                <w:b w:val="0"/>
                <w:bCs w:val="0"/>
                <w:color w:val="auto"/>
                <w:sz w:val="24"/>
                <w:szCs w:val="24"/>
                <w:highlight w:val="none"/>
                <w:lang w:val="en-US" w:eastAsia="zh-CN"/>
              </w:rPr>
              <w:t>分。未提供不得分。</w:t>
            </w:r>
          </w:p>
        </w:tc>
        <w:tc>
          <w:tcPr>
            <w:tcW w:w="861" w:type="dxa"/>
            <w:shd w:val="clear" w:color="auto" w:fill="auto"/>
            <w:vAlign w:val="center"/>
          </w:tcPr>
          <w:p w14:paraId="01F3DA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仿宋" w:cs="Times New Roman"/>
                <w:b/>
                <w:bCs/>
                <w:color w:val="auto"/>
                <w:sz w:val="24"/>
                <w:szCs w:val="24"/>
                <w:highlight w:val="none"/>
                <w:lang w:val="en-US" w:eastAsia="zh-CN"/>
              </w:rPr>
            </w:pPr>
            <w:r>
              <w:rPr>
                <w:rFonts w:hint="eastAsia" w:ascii="Times New Roman" w:hAnsi="Times New Roman" w:eastAsia="仿宋" w:cs="Times New Roman"/>
                <w:b/>
                <w:bCs/>
                <w:color w:val="auto"/>
                <w:sz w:val="24"/>
                <w:szCs w:val="24"/>
                <w:highlight w:val="none"/>
                <w:lang w:val="en-US" w:eastAsia="zh-CN"/>
              </w:rPr>
              <w:t>6</w:t>
            </w:r>
          </w:p>
        </w:tc>
      </w:tr>
      <w:tr w14:paraId="3B601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22" w:type="dxa"/>
            <w:shd w:val="clear" w:color="auto" w:fill="auto"/>
            <w:vAlign w:val="center"/>
          </w:tcPr>
          <w:p w14:paraId="5ABEC0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eastAsia="仿宋" w:cs="Times New Roman"/>
                <w:b/>
                <w:bCs/>
                <w:color w:val="auto"/>
                <w:sz w:val="24"/>
                <w:szCs w:val="24"/>
                <w:highlight w:val="none"/>
                <w:lang w:val="en-US" w:eastAsia="zh-CN"/>
              </w:rPr>
            </w:pPr>
            <w:r>
              <w:rPr>
                <w:rFonts w:hint="eastAsia" w:ascii="Times New Roman" w:hAnsi="Times New Roman" w:eastAsia="仿宋" w:cs="Times New Roman"/>
                <w:b/>
                <w:bCs/>
                <w:color w:val="auto"/>
                <w:sz w:val="24"/>
                <w:szCs w:val="24"/>
                <w:highlight w:val="none"/>
                <w:lang w:val="en-US" w:eastAsia="zh-CN"/>
              </w:rPr>
              <w:t>10</w:t>
            </w:r>
          </w:p>
        </w:tc>
        <w:tc>
          <w:tcPr>
            <w:tcW w:w="1067" w:type="dxa"/>
            <w:shd w:val="clear" w:color="auto" w:fill="auto"/>
            <w:vAlign w:val="center"/>
          </w:tcPr>
          <w:p w14:paraId="7EC97032">
            <w:pPr>
              <w:pStyle w:val="22"/>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60" w:lineRule="auto"/>
              <w:ind w:left="0" w:leftChars="0" w:right="0"/>
              <w:jc w:val="center"/>
              <w:textAlignment w:val="auto"/>
              <w:rPr>
                <w:rFonts w:hint="default" w:ascii="Times New Roman" w:hAnsi="Times New Roman" w:eastAsia="仿宋" w:cs="Times New Roman"/>
                <w:b/>
                <w:bCs/>
                <w:color w:val="auto"/>
                <w:sz w:val="24"/>
                <w:szCs w:val="24"/>
                <w:highlight w:val="none"/>
                <w:lang w:val="en-US" w:eastAsia="zh-CN"/>
              </w:rPr>
            </w:pPr>
            <w:r>
              <w:rPr>
                <w:rFonts w:hint="eastAsia" w:eastAsia="仿宋" w:cs="Times New Roman"/>
                <w:b/>
                <w:bCs/>
                <w:color w:val="auto"/>
                <w:sz w:val="24"/>
                <w:szCs w:val="24"/>
                <w:highlight w:val="none"/>
                <w:lang w:val="en-US" w:eastAsia="zh-CN"/>
              </w:rPr>
              <w:t>企业业绩</w:t>
            </w:r>
          </w:p>
        </w:tc>
        <w:tc>
          <w:tcPr>
            <w:tcW w:w="6405" w:type="dxa"/>
            <w:shd w:val="clear" w:color="auto" w:fill="auto"/>
            <w:vAlign w:val="center"/>
          </w:tcPr>
          <w:p w14:paraId="437E6A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default"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val="0"/>
                <w:bCs w:val="0"/>
                <w:color w:val="auto"/>
                <w:sz w:val="24"/>
                <w:szCs w:val="24"/>
                <w:highlight w:val="none"/>
                <w:lang w:val="en-US" w:eastAsia="zh-CN"/>
              </w:rPr>
              <w:t>供应商具有202</w:t>
            </w:r>
            <w:r>
              <w:rPr>
                <w:rFonts w:hint="eastAsia" w:ascii="Times New Roman" w:hAnsi="Times New Roman" w:eastAsia="仿宋" w:cs="Times New Roman"/>
                <w:b w:val="0"/>
                <w:bCs w:val="0"/>
                <w:color w:val="auto"/>
                <w:sz w:val="24"/>
                <w:szCs w:val="24"/>
                <w:highlight w:val="none"/>
                <w:lang w:val="en-US" w:eastAsia="zh-CN"/>
              </w:rPr>
              <w:t>3</w:t>
            </w:r>
            <w:r>
              <w:rPr>
                <w:rFonts w:hint="default" w:ascii="Times New Roman" w:hAnsi="Times New Roman" w:eastAsia="仿宋" w:cs="Times New Roman"/>
                <w:b w:val="0"/>
                <w:bCs w:val="0"/>
                <w:color w:val="auto"/>
                <w:sz w:val="24"/>
                <w:szCs w:val="24"/>
                <w:highlight w:val="none"/>
                <w:lang w:val="en-US" w:eastAsia="zh-CN"/>
              </w:rPr>
              <w:t>年1月1日以来签订的</w:t>
            </w:r>
            <w:r>
              <w:rPr>
                <w:rFonts w:hint="eastAsia" w:ascii="Times New Roman" w:hAnsi="Times New Roman" w:eastAsia="仿宋" w:cs="Times New Roman"/>
                <w:b w:val="0"/>
                <w:bCs w:val="0"/>
                <w:color w:val="auto"/>
                <w:sz w:val="24"/>
                <w:szCs w:val="24"/>
                <w:highlight w:val="none"/>
                <w:lang w:val="en-US" w:eastAsia="zh-CN"/>
              </w:rPr>
              <w:t>同类</w:t>
            </w:r>
            <w:r>
              <w:rPr>
                <w:rFonts w:hint="default" w:ascii="Times New Roman" w:hAnsi="Times New Roman" w:eastAsia="仿宋" w:cs="Times New Roman"/>
                <w:b w:val="0"/>
                <w:bCs w:val="0"/>
                <w:color w:val="auto"/>
                <w:sz w:val="24"/>
                <w:szCs w:val="24"/>
                <w:highlight w:val="none"/>
                <w:lang w:val="en-US" w:eastAsia="zh-CN"/>
              </w:rPr>
              <w:t>业绩</w:t>
            </w:r>
            <w:r>
              <w:rPr>
                <w:rFonts w:hint="eastAsia" w:ascii="Times New Roman" w:hAnsi="Times New Roman" w:eastAsia="仿宋" w:cs="Times New Roman"/>
                <w:b w:val="0"/>
                <w:bCs w:val="0"/>
                <w:color w:val="auto"/>
                <w:sz w:val="24"/>
                <w:szCs w:val="24"/>
                <w:highlight w:val="none"/>
                <w:lang w:val="en-US" w:eastAsia="zh-CN"/>
              </w:rPr>
              <w:t>（</w:t>
            </w:r>
            <w:r>
              <w:rPr>
                <w:rFonts w:hint="eastAsia" w:ascii="Times New Roman" w:hAnsi="Times New Roman" w:eastAsia="仿宋" w:cs="Times New Roman"/>
                <w:color w:val="auto"/>
                <w:kern w:val="2"/>
                <w:sz w:val="24"/>
                <w:szCs w:val="24"/>
                <w:highlight w:val="none"/>
                <w:lang w:val="en-US" w:eastAsia="zh-CN" w:bidi="ar-SA"/>
              </w:rPr>
              <w:t>须承担过建筑面积10万平方米及以上公共建筑的消防年度检测、消防安全评估服务项目业绩</w:t>
            </w:r>
            <w:r>
              <w:rPr>
                <w:rFonts w:hint="eastAsia" w:ascii="Times New Roman" w:hAnsi="Times New Roman" w:eastAsia="仿宋" w:cs="Times New Roman"/>
                <w:b w:val="0"/>
                <w:bCs w:val="0"/>
                <w:color w:val="auto"/>
                <w:sz w:val="24"/>
                <w:szCs w:val="24"/>
                <w:highlight w:val="none"/>
                <w:lang w:val="en-US" w:eastAsia="zh-CN"/>
              </w:rPr>
              <w:t>），每提供1个得2分，最多得4分。</w:t>
            </w:r>
          </w:p>
          <w:p w14:paraId="49F877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left"/>
              <w:textAlignment w:val="auto"/>
              <w:rPr>
                <w:rFonts w:hint="eastAsia"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val="en-US" w:eastAsia="zh-CN"/>
              </w:rPr>
              <w:t>【注：需提供合同复印件</w:t>
            </w:r>
            <w:r>
              <w:rPr>
                <w:rFonts w:hint="eastAsia" w:ascii="仿宋" w:hAnsi="仿宋" w:eastAsia="仿宋" w:cs="仿宋"/>
                <w:b/>
                <w:bCs/>
                <w:color w:val="auto"/>
                <w:sz w:val="24"/>
                <w:highlight w:val="none"/>
                <w:lang w:val="en-US" w:eastAsia="zh-CN"/>
              </w:rPr>
              <w:t>等</w:t>
            </w:r>
            <w:r>
              <w:rPr>
                <w:rFonts w:hint="eastAsia" w:ascii="仿宋" w:hAnsi="仿宋" w:eastAsia="仿宋" w:cs="仿宋"/>
                <w:b/>
                <w:bCs/>
                <w:color w:val="auto"/>
                <w:sz w:val="24"/>
                <w:highlight w:val="none"/>
              </w:rPr>
              <w:t>证明</w:t>
            </w:r>
            <w:r>
              <w:rPr>
                <w:rFonts w:hint="eastAsia" w:ascii="仿宋" w:hAnsi="仿宋" w:eastAsia="仿宋" w:cs="仿宋"/>
                <w:b/>
                <w:bCs/>
                <w:color w:val="auto"/>
                <w:sz w:val="24"/>
                <w:highlight w:val="none"/>
                <w:lang w:val="en-US" w:eastAsia="zh-CN"/>
              </w:rPr>
              <w:t>材料</w:t>
            </w:r>
            <w:r>
              <w:rPr>
                <w:rFonts w:hint="default" w:ascii="Times New Roman" w:hAnsi="Times New Roman" w:eastAsia="仿宋" w:cs="Times New Roman"/>
                <w:b/>
                <w:bCs/>
                <w:color w:val="auto"/>
                <w:sz w:val="24"/>
                <w:szCs w:val="24"/>
                <w:highlight w:val="none"/>
                <w:lang w:val="en-US" w:eastAsia="zh-CN"/>
              </w:rPr>
              <w:t>并加盖公章</w:t>
            </w:r>
            <w:r>
              <w:rPr>
                <w:rFonts w:hint="eastAsia" w:ascii="仿宋" w:hAnsi="仿宋" w:eastAsia="仿宋" w:cs="仿宋"/>
                <w:b/>
                <w:bCs/>
                <w:color w:val="auto"/>
                <w:sz w:val="24"/>
                <w:highlight w:val="none"/>
              </w:rPr>
              <w:t>，</w:t>
            </w:r>
            <w:r>
              <w:rPr>
                <w:rFonts w:hint="eastAsia" w:ascii="仿宋" w:hAnsi="仿宋" w:eastAsia="仿宋" w:cs="宋体"/>
                <w:b/>
                <w:bCs/>
                <w:color w:val="auto"/>
                <w:kern w:val="0"/>
                <w:sz w:val="24"/>
                <w:highlight w:val="none"/>
                <w:u w:val="none"/>
                <w:lang w:bidi="ar"/>
              </w:rPr>
              <w:t>且合同内容能体现同品类的采购内容，未提供或提供内容不完整的不得分</w:t>
            </w:r>
            <w:r>
              <w:rPr>
                <w:rFonts w:hint="eastAsia" w:ascii="仿宋" w:hAnsi="仿宋" w:eastAsia="仿宋" w:cs="宋体"/>
                <w:b/>
                <w:bCs/>
                <w:color w:val="auto"/>
                <w:kern w:val="0"/>
                <w:sz w:val="24"/>
                <w:highlight w:val="none"/>
                <w:u w:val="none"/>
                <w:lang w:eastAsia="zh-CN" w:bidi="ar"/>
              </w:rPr>
              <w:t>，</w:t>
            </w:r>
            <w:r>
              <w:rPr>
                <w:rFonts w:hint="eastAsia" w:ascii="仿宋" w:hAnsi="仿宋" w:eastAsia="仿宋" w:cs="宋体"/>
                <w:b/>
                <w:bCs/>
                <w:color w:val="auto"/>
                <w:kern w:val="0"/>
                <w:sz w:val="24"/>
                <w:highlight w:val="none"/>
                <w:u w:val="none"/>
                <w:lang w:val="en-US" w:eastAsia="zh-CN" w:bidi="ar"/>
              </w:rPr>
              <w:t>以合同签订时间为准</w:t>
            </w:r>
            <w:r>
              <w:rPr>
                <w:rFonts w:hint="eastAsia" w:ascii="仿宋" w:hAnsi="仿宋" w:eastAsia="仿宋" w:cs="宋体"/>
                <w:b/>
                <w:bCs/>
                <w:color w:val="auto"/>
                <w:kern w:val="0"/>
                <w:sz w:val="24"/>
                <w:highlight w:val="none"/>
                <w:u w:val="none"/>
                <w:lang w:bidi="ar"/>
              </w:rPr>
              <w:t>。</w:t>
            </w:r>
            <w:r>
              <w:rPr>
                <w:rFonts w:hint="eastAsia" w:ascii="仿宋" w:hAnsi="仿宋" w:eastAsia="仿宋" w:cs="宋体"/>
                <w:b/>
                <w:bCs/>
                <w:color w:val="auto"/>
                <w:kern w:val="0"/>
                <w:sz w:val="24"/>
                <w:highlight w:val="none"/>
                <w:u w:val="none"/>
                <w:lang w:eastAsia="zh-CN" w:bidi="ar"/>
              </w:rPr>
              <w:t>】</w:t>
            </w:r>
          </w:p>
        </w:tc>
        <w:tc>
          <w:tcPr>
            <w:tcW w:w="861" w:type="dxa"/>
            <w:shd w:val="clear" w:color="auto" w:fill="auto"/>
            <w:vAlign w:val="center"/>
          </w:tcPr>
          <w:p w14:paraId="5488FD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val="en-US" w:eastAsia="zh-CN"/>
              </w:rPr>
              <w:t>4</w:t>
            </w:r>
          </w:p>
        </w:tc>
      </w:tr>
    </w:tbl>
    <w:p w14:paraId="688FE20C">
      <w:pPr>
        <w:rPr>
          <w:rFonts w:hint="eastAsia"/>
          <w:lang w:val="en-US" w:eastAsia="zh-CN"/>
        </w:rPr>
      </w:pPr>
      <w:r>
        <w:rPr>
          <w:rFonts w:hint="eastAsia"/>
          <w:lang w:val="en-US" w:eastAsia="zh-CN"/>
        </w:rPr>
        <w:br w:type="page"/>
      </w:r>
    </w:p>
    <w:p w14:paraId="4FC7FEF9">
      <w:pPr>
        <w:tabs>
          <w:tab w:val="left" w:pos="3840"/>
          <w:tab w:val="left" w:pos="7320"/>
        </w:tabs>
        <w:spacing w:line="360" w:lineRule="auto"/>
        <w:jc w:val="center"/>
        <w:outlineLvl w:val="0"/>
        <w:rPr>
          <w:rFonts w:hint="eastAsia" w:ascii="仿宋" w:hAnsi="仿宋" w:eastAsia="仿宋"/>
          <w:b/>
          <w:sz w:val="36"/>
          <w:szCs w:val="36"/>
        </w:rPr>
      </w:pPr>
      <w:r>
        <w:rPr>
          <w:rFonts w:hint="eastAsia" w:ascii="仿宋" w:hAnsi="仿宋" w:eastAsia="仿宋"/>
          <w:b/>
          <w:sz w:val="36"/>
          <w:szCs w:val="36"/>
        </w:rPr>
        <w:t>第</w:t>
      </w:r>
      <w:r>
        <w:rPr>
          <w:rFonts w:hint="eastAsia" w:ascii="仿宋" w:hAnsi="仿宋" w:eastAsia="仿宋"/>
          <w:b/>
          <w:sz w:val="36"/>
          <w:szCs w:val="36"/>
          <w:lang w:val="en-US" w:eastAsia="zh-CN"/>
        </w:rPr>
        <w:t>四</w:t>
      </w:r>
      <w:r>
        <w:rPr>
          <w:rFonts w:hint="eastAsia" w:ascii="仿宋" w:hAnsi="仿宋" w:eastAsia="仿宋"/>
          <w:b/>
          <w:sz w:val="36"/>
          <w:szCs w:val="36"/>
        </w:rPr>
        <w:t>章  合同主要条款（参考模板）</w:t>
      </w:r>
    </w:p>
    <w:p w14:paraId="48A68D9C">
      <w:pPr>
        <w:tabs>
          <w:tab w:val="left" w:pos="3840"/>
          <w:tab w:val="left" w:pos="7320"/>
        </w:tabs>
        <w:spacing w:line="360" w:lineRule="auto"/>
        <w:ind w:right="960"/>
        <w:rPr>
          <w:rFonts w:hint="eastAsia" w:ascii="仿宋" w:hAnsi="仿宋" w:eastAsia="仿宋"/>
          <w:sz w:val="24"/>
        </w:rPr>
      </w:pPr>
      <w:r>
        <w:rPr>
          <w:rFonts w:ascii="仿宋" w:hAnsi="仿宋" w:eastAsia="仿宋"/>
          <w:sz w:val="24"/>
        </w:rPr>
        <w:t>编号:</w:t>
      </w:r>
      <w:r>
        <w:t>_______________</w:t>
      </w:r>
    </w:p>
    <w:p w14:paraId="4F284B2E">
      <w:pPr>
        <w:tabs>
          <w:tab w:val="left" w:pos="3840"/>
          <w:tab w:val="left" w:pos="7320"/>
        </w:tabs>
        <w:spacing w:line="360" w:lineRule="auto"/>
        <w:jc w:val="center"/>
        <w:rPr>
          <w:rFonts w:hint="eastAsia" w:ascii="仿宋" w:hAnsi="仿宋" w:eastAsia="仿宋"/>
          <w:b/>
          <w:sz w:val="36"/>
          <w:szCs w:val="36"/>
        </w:rPr>
      </w:pPr>
    </w:p>
    <w:p w14:paraId="76954A1E">
      <w:pPr>
        <w:tabs>
          <w:tab w:val="left" w:pos="3840"/>
          <w:tab w:val="left" w:pos="7320"/>
        </w:tabs>
        <w:spacing w:line="360" w:lineRule="auto"/>
        <w:jc w:val="center"/>
        <w:rPr>
          <w:rFonts w:hint="eastAsia" w:ascii="仿宋" w:hAnsi="仿宋" w:eastAsia="仿宋"/>
          <w:b/>
          <w:sz w:val="36"/>
          <w:szCs w:val="36"/>
        </w:rPr>
      </w:pPr>
    </w:p>
    <w:p w14:paraId="403E16E3">
      <w:pPr>
        <w:tabs>
          <w:tab w:val="left" w:pos="3840"/>
          <w:tab w:val="left" w:pos="7320"/>
        </w:tabs>
        <w:spacing w:line="360" w:lineRule="auto"/>
        <w:jc w:val="center"/>
        <w:rPr>
          <w:rFonts w:hint="eastAsia" w:ascii="仿宋" w:hAnsi="仿宋" w:eastAsia="仿宋"/>
          <w:b/>
          <w:sz w:val="36"/>
          <w:szCs w:val="36"/>
        </w:rPr>
      </w:pPr>
    </w:p>
    <w:p w14:paraId="035A6F70">
      <w:pPr>
        <w:tabs>
          <w:tab w:val="left" w:pos="3840"/>
          <w:tab w:val="left" w:pos="7320"/>
        </w:tabs>
        <w:spacing w:line="360" w:lineRule="auto"/>
        <w:jc w:val="center"/>
        <w:rPr>
          <w:rFonts w:hint="eastAsia" w:ascii="仿宋" w:hAnsi="仿宋" w:eastAsia="仿宋"/>
          <w:b/>
          <w:sz w:val="36"/>
          <w:szCs w:val="36"/>
        </w:rPr>
      </w:pPr>
    </w:p>
    <w:p w14:paraId="3AEB7467">
      <w:pPr>
        <w:tabs>
          <w:tab w:val="left" w:pos="3840"/>
          <w:tab w:val="left" w:pos="7320"/>
        </w:tabs>
        <w:spacing w:line="360" w:lineRule="auto"/>
        <w:jc w:val="center"/>
        <w:rPr>
          <w:rFonts w:hint="eastAsia" w:ascii="仿宋" w:hAnsi="仿宋" w:eastAsia="仿宋"/>
          <w:b/>
          <w:sz w:val="36"/>
          <w:szCs w:val="36"/>
        </w:rPr>
      </w:pPr>
    </w:p>
    <w:p w14:paraId="54BB29AA">
      <w:pPr>
        <w:tabs>
          <w:tab w:val="left" w:pos="3840"/>
          <w:tab w:val="left" w:pos="7320"/>
        </w:tabs>
        <w:spacing w:line="360" w:lineRule="auto"/>
        <w:jc w:val="center"/>
        <w:outlineLvl w:val="1"/>
        <w:rPr>
          <w:rFonts w:hint="default" w:asciiTheme="majorEastAsia" w:hAnsiTheme="majorEastAsia" w:eastAsiaTheme="majorEastAsia"/>
          <w:b/>
          <w:sz w:val="52"/>
          <w:szCs w:val="52"/>
          <w:lang w:val="en-US" w:eastAsia="zh-CN"/>
        </w:rPr>
      </w:pPr>
      <w:r>
        <w:rPr>
          <w:rFonts w:hint="eastAsia" w:asciiTheme="majorEastAsia" w:hAnsiTheme="majorEastAsia" w:eastAsiaTheme="majorEastAsia"/>
          <w:b/>
          <w:sz w:val="52"/>
          <w:szCs w:val="52"/>
          <w:lang w:val="en-US" w:eastAsia="zh-CN"/>
        </w:rPr>
        <w:t>湖州学院xxxxx项目合同</w:t>
      </w:r>
    </w:p>
    <w:p w14:paraId="7A5B2CE5">
      <w:pPr>
        <w:tabs>
          <w:tab w:val="left" w:pos="3840"/>
          <w:tab w:val="left" w:pos="7320"/>
        </w:tabs>
        <w:spacing w:line="360" w:lineRule="auto"/>
        <w:jc w:val="center"/>
        <w:rPr>
          <w:rFonts w:hint="eastAsia" w:ascii="仿宋" w:hAnsi="仿宋" w:eastAsia="仿宋"/>
          <w:b/>
          <w:sz w:val="36"/>
          <w:szCs w:val="36"/>
        </w:rPr>
      </w:pPr>
    </w:p>
    <w:p w14:paraId="2BA89157">
      <w:pPr>
        <w:tabs>
          <w:tab w:val="left" w:pos="3840"/>
          <w:tab w:val="left" w:pos="7320"/>
        </w:tabs>
        <w:spacing w:line="360" w:lineRule="auto"/>
        <w:jc w:val="left"/>
        <w:rPr>
          <w:rFonts w:hint="eastAsia" w:ascii="仿宋" w:hAnsi="仿宋" w:eastAsia="仿宋"/>
          <w:b/>
          <w:sz w:val="36"/>
          <w:szCs w:val="36"/>
        </w:rPr>
      </w:pPr>
    </w:p>
    <w:p w14:paraId="439CAC09">
      <w:pPr>
        <w:tabs>
          <w:tab w:val="left" w:pos="3840"/>
          <w:tab w:val="left" w:pos="7320"/>
        </w:tabs>
        <w:spacing w:line="360" w:lineRule="auto"/>
        <w:jc w:val="left"/>
        <w:rPr>
          <w:rFonts w:hint="eastAsia" w:ascii="仿宋" w:hAnsi="仿宋" w:eastAsia="仿宋"/>
          <w:b/>
          <w:sz w:val="40"/>
          <w:szCs w:val="40"/>
        </w:rPr>
      </w:pPr>
    </w:p>
    <w:p w14:paraId="04A727E3">
      <w:pPr>
        <w:widowControl/>
        <w:spacing w:line="360" w:lineRule="auto"/>
        <w:ind w:firstLine="562" w:firstLineChars="200"/>
        <w:jc w:val="left"/>
        <w:rPr>
          <w:rFonts w:hint="eastAsia" w:asciiTheme="majorEastAsia" w:hAnsiTheme="majorEastAsia" w:eastAsiaTheme="majorEastAsia"/>
          <w:b/>
          <w:bCs/>
          <w:sz w:val="28"/>
          <w:szCs w:val="28"/>
        </w:rPr>
      </w:pPr>
      <w:r>
        <w:rPr>
          <w:rFonts w:hint="eastAsia" w:asciiTheme="majorEastAsia" w:hAnsiTheme="majorEastAsia" w:eastAsiaTheme="majorEastAsia"/>
          <w:b/>
          <w:bCs/>
          <w:sz w:val="28"/>
          <w:szCs w:val="28"/>
        </w:rPr>
        <w:t>甲方：</w:t>
      </w:r>
    </w:p>
    <w:p w14:paraId="59DC00BF">
      <w:pPr>
        <w:widowControl/>
        <w:spacing w:line="360" w:lineRule="auto"/>
        <w:ind w:firstLine="562" w:firstLineChars="200"/>
        <w:jc w:val="left"/>
        <w:rPr>
          <w:rFonts w:hint="eastAsia" w:asciiTheme="majorEastAsia" w:hAnsiTheme="majorEastAsia" w:eastAsiaTheme="majorEastAsia"/>
          <w:b/>
          <w:bCs/>
          <w:sz w:val="28"/>
          <w:szCs w:val="28"/>
        </w:rPr>
      </w:pPr>
      <w:r>
        <w:rPr>
          <w:rFonts w:hint="eastAsia" w:asciiTheme="majorEastAsia" w:hAnsiTheme="majorEastAsia" w:eastAsiaTheme="majorEastAsia"/>
          <w:b/>
          <w:bCs/>
          <w:sz w:val="28"/>
          <w:szCs w:val="28"/>
        </w:rPr>
        <w:t>地址：</w:t>
      </w:r>
    </w:p>
    <w:p w14:paraId="45D2A179">
      <w:pPr>
        <w:widowControl/>
        <w:spacing w:line="360" w:lineRule="auto"/>
        <w:ind w:firstLine="562" w:firstLineChars="200"/>
        <w:jc w:val="left"/>
        <w:rPr>
          <w:rFonts w:hint="eastAsia" w:asciiTheme="majorEastAsia" w:hAnsiTheme="majorEastAsia" w:eastAsiaTheme="majorEastAsia"/>
          <w:b/>
          <w:bCs/>
          <w:sz w:val="28"/>
          <w:szCs w:val="28"/>
        </w:rPr>
      </w:pPr>
      <w:r>
        <w:rPr>
          <w:rFonts w:hint="eastAsia" w:asciiTheme="majorEastAsia" w:hAnsiTheme="majorEastAsia" w:eastAsiaTheme="majorEastAsia"/>
          <w:b/>
          <w:bCs/>
          <w:sz w:val="28"/>
          <w:szCs w:val="28"/>
        </w:rPr>
        <w:t>电话：</w:t>
      </w:r>
    </w:p>
    <w:p w14:paraId="252DC8F6">
      <w:pPr>
        <w:widowControl/>
        <w:spacing w:line="360" w:lineRule="auto"/>
        <w:ind w:firstLine="562" w:firstLineChars="200"/>
        <w:jc w:val="left"/>
        <w:rPr>
          <w:rFonts w:hint="default" w:asciiTheme="majorEastAsia" w:hAnsiTheme="majorEastAsia" w:eastAsiaTheme="majorEastAsia"/>
          <w:b/>
          <w:bCs/>
          <w:sz w:val="28"/>
          <w:szCs w:val="28"/>
          <w:lang w:val="en-US" w:eastAsia="zh-CN"/>
        </w:rPr>
      </w:pPr>
      <w:r>
        <w:rPr>
          <w:rFonts w:hint="eastAsia" w:asciiTheme="majorEastAsia" w:hAnsiTheme="majorEastAsia" w:eastAsiaTheme="majorEastAsia"/>
          <w:b/>
          <w:bCs/>
          <w:sz w:val="28"/>
          <w:szCs w:val="28"/>
          <w:lang w:val="en-US" w:eastAsia="zh-CN"/>
        </w:rPr>
        <w:t>电子邮箱：</w:t>
      </w:r>
    </w:p>
    <w:p w14:paraId="6197183B">
      <w:pPr>
        <w:widowControl/>
        <w:spacing w:line="360" w:lineRule="auto"/>
        <w:ind w:firstLine="562" w:firstLineChars="200"/>
        <w:jc w:val="left"/>
        <w:rPr>
          <w:rFonts w:hint="eastAsia" w:asciiTheme="majorEastAsia" w:hAnsiTheme="majorEastAsia" w:eastAsiaTheme="majorEastAsia"/>
          <w:b/>
          <w:bCs/>
          <w:sz w:val="28"/>
          <w:szCs w:val="28"/>
        </w:rPr>
      </w:pPr>
    </w:p>
    <w:p w14:paraId="20C48C8D">
      <w:pPr>
        <w:widowControl/>
        <w:spacing w:line="360" w:lineRule="auto"/>
        <w:ind w:firstLine="562" w:firstLineChars="200"/>
        <w:jc w:val="left"/>
        <w:rPr>
          <w:rFonts w:hint="eastAsia" w:asciiTheme="majorEastAsia" w:hAnsiTheme="majorEastAsia" w:eastAsiaTheme="majorEastAsia"/>
          <w:b/>
          <w:bCs/>
          <w:sz w:val="28"/>
          <w:szCs w:val="28"/>
        </w:rPr>
      </w:pPr>
      <w:r>
        <w:rPr>
          <w:rFonts w:hint="eastAsia" w:asciiTheme="majorEastAsia" w:hAnsiTheme="majorEastAsia" w:eastAsiaTheme="majorEastAsia"/>
          <w:b/>
          <w:bCs/>
          <w:sz w:val="28"/>
          <w:szCs w:val="28"/>
        </w:rPr>
        <w:t>乙方：</w:t>
      </w:r>
    </w:p>
    <w:p w14:paraId="68F3AA28">
      <w:pPr>
        <w:widowControl/>
        <w:spacing w:line="360" w:lineRule="auto"/>
        <w:ind w:firstLine="562" w:firstLineChars="200"/>
        <w:jc w:val="left"/>
        <w:rPr>
          <w:rFonts w:hint="eastAsia" w:asciiTheme="majorEastAsia" w:hAnsiTheme="majorEastAsia" w:eastAsiaTheme="majorEastAsia"/>
          <w:b/>
          <w:bCs/>
          <w:sz w:val="28"/>
          <w:szCs w:val="28"/>
        </w:rPr>
      </w:pPr>
      <w:r>
        <w:rPr>
          <w:rFonts w:hint="eastAsia" w:asciiTheme="majorEastAsia" w:hAnsiTheme="majorEastAsia" w:eastAsiaTheme="majorEastAsia"/>
          <w:b/>
          <w:bCs/>
          <w:sz w:val="28"/>
          <w:szCs w:val="28"/>
        </w:rPr>
        <w:t>地址：</w:t>
      </w:r>
    </w:p>
    <w:p w14:paraId="3E98F338">
      <w:pPr>
        <w:widowControl/>
        <w:spacing w:line="360" w:lineRule="auto"/>
        <w:ind w:firstLine="562" w:firstLineChars="200"/>
        <w:jc w:val="left"/>
        <w:rPr>
          <w:rFonts w:hint="eastAsia" w:asciiTheme="majorEastAsia" w:hAnsiTheme="majorEastAsia" w:eastAsiaTheme="majorEastAsia"/>
          <w:sz w:val="28"/>
          <w:szCs w:val="28"/>
        </w:rPr>
      </w:pPr>
      <w:r>
        <w:rPr>
          <w:rFonts w:hint="eastAsia" w:asciiTheme="majorEastAsia" w:hAnsiTheme="majorEastAsia" w:eastAsiaTheme="majorEastAsia"/>
          <w:b/>
          <w:bCs/>
          <w:sz w:val="28"/>
          <w:szCs w:val="28"/>
        </w:rPr>
        <w:t>电话：</w:t>
      </w:r>
    </w:p>
    <w:p w14:paraId="78BB8859">
      <w:pPr>
        <w:widowControl/>
        <w:spacing w:line="360" w:lineRule="auto"/>
        <w:ind w:firstLine="562" w:firstLineChars="200"/>
        <w:jc w:val="left"/>
        <w:rPr>
          <w:rFonts w:hint="eastAsia" w:asciiTheme="majorEastAsia" w:hAnsiTheme="majorEastAsia" w:eastAsiaTheme="majorEastAsia"/>
          <w:b/>
          <w:bCs/>
          <w:sz w:val="28"/>
          <w:szCs w:val="28"/>
          <w:lang w:val="en-US" w:eastAsia="zh-CN"/>
        </w:rPr>
      </w:pPr>
      <w:r>
        <w:rPr>
          <w:rFonts w:hint="eastAsia" w:asciiTheme="majorEastAsia" w:hAnsiTheme="majorEastAsia" w:eastAsiaTheme="majorEastAsia"/>
          <w:b/>
          <w:bCs/>
          <w:sz w:val="28"/>
          <w:szCs w:val="28"/>
          <w:lang w:val="en-US" w:eastAsia="zh-CN"/>
        </w:rPr>
        <w:t>电子邮箱：</w:t>
      </w:r>
    </w:p>
    <w:p w14:paraId="5E180EAC">
      <w:pPr>
        <w:widowControl/>
        <w:spacing w:line="360" w:lineRule="auto"/>
        <w:ind w:firstLine="643" w:firstLineChars="200"/>
        <w:jc w:val="center"/>
        <w:rPr>
          <w:rFonts w:hint="eastAsia" w:ascii="仿宋" w:hAnsi="仿宋" w:eastAsia="仿宋"/>
          <w:b/>
          <w:bCs/>
          <w:sz w:val="32"/>
          <w:szCs w:val="32"/>
        </w:rPr>
      </w:pPr>
    </w:p>
    <w:p w14:paraId="05830CB4">
      <w:pPr>
        <w:bidi w:val="0"/>
        <w:rPr>
          <w:rFonts w:hint="eastAsia"/>
        </w:rPr>
      </w:pPr>
    </w:p>
    <w:p w14:paraId="795F3EB1">
      <w:pPr>
        <w:rPr>
          <w:rFonts w:hint="default" w:ascii="Times New Roman" w:hAnsi="Times New Roman" w:cs="Times New Roman"/>
          <w:sz w:val="24"/>
          <w:szCs w:val="24"/>
        </w:rPr>
      </w:pPr>
      <w:r>
        <w:rPr>
          <w:rFonts w:hint="default" w:ascii="Times New Roman" w:hAnsi="Times New Roman" w:cs="Times New Roman"/>
          <w:sz w:val="24"/>
          <w:szCs w:val="24"/>
        </w:rPr>
        <w:br w:type="page"/>
      </w:r>
    </w:p>
    <w:p w14:paraId="5F057049">
      <w:pPr>
        <w:spacing w:beforeLines="0" w:afterLines="0" w:line="640" w:lineRule="exact"/>
        <w:jc w:val="center"/>
        <w:rPr>
          <w:rFonts w:hint="eastAsia" w:ascii="华文仿宋" w:hAnsi="华文仿宋" w:eastAsia="华文仿宋" w:cs="华文仿宋"/>
          <w:b/>
          <w:sz w:val="32"/>
          <w:szCs w:val="32"/>
        </w:rPr>
      </w:pPr>
      <w:r>
        <w:rPr>
          <w:rFonts w:hint="eastAsia" w:ascii="华文仿宋" w:hAnsi="华文仿宋" w:eastAsia="华文仿宋" w:cs="华文仿宋"/>
          <w:b/>
          <w:sz w:val="32"/>
          <w:szCs w:val="32"/>
        </w:rPr>
        <w:t>湖州学院安全保卫部消防系统运行管理及维护保养服务</w:t>
      </w:r>
    </w:p>
    <w:p w14:paraId="18B55751">
      <w:pPr>
        <w:spacing w:beforeLines="0" w:afterLines="0" w:line="640" w:lineRule="exact"/>
        <w:jc w:val="center"/>
        <w:rPr>
          <w:rFonts w:hint="eastAsia" w:ascii="华文仿宋" w:hAnsi="华文仿宋" w:eastAsia="华文仿宋" w:cs="华文仿宋"/>
          <w:b/>
          <w:sz w:val="32"/>
          <w:szCs w:val="32"/>
          <w:lang w:eastAsia="zh-CN"/>
        </w:rPr>
      </w:pPr>
      <w:r>
        <w:rPr>
          <w:rFonts w:hint="eastAsia" w:ascii="华文仿宋" w:hAnsi="华文仿宋" w:eastAsia="华文仿宋" w:cs="华文仿宋"/>
          <w:b/>
          <w:sz w:val="32"/>
          <w:szCs w:val="32"/>
        </w:rPr>
        <w:t>采购项目执行合同</w:t>
      </w:r>
    </w:p>
    <w:p w14:paraId="1133B0E5">
      <w:pPr>
        <w:pStyle w:val="9"/>
        <w:spacing w:beforeLines="0" w:afterLines="0"/>
        <w:rPr>
          <w:rFonts w:hint="default"/>
          <w:sz w:val="21"/>
          <w:szCs w:val="24"/>
        </w:rPr>
      </w:pPr>
    </w:p>
    <w:p w14:paraId="3EAA2622">
      <w:pPr>
        <w:snapToGrid w:val="0"/>
        <w:spacing w:beforeLines="0" w:afterLines="0" w:line="560" w:lineRule="exact"/>
        <w:jc w:val="left"/>
        <w:rPr>
          <w:rFonts w:hint="eastAsia" w:ascii="宋体" w:hAnsi="宋体" w:eastAsia="宋体" w:cs="宋体"/>
          <w:sz w:val="24"/>
          <w:szCs w:val="24"/>
        </w:rPr>
      </w:pPr>
      <w:r>
        <w:rPr>
          <w:rFonts w:hint="eastAsia" w:ascii="宋体" w:hAnsi="宋体" w:eastAsia="宋体" w:cs="宋体"/>
          <w:sz w:val="24"/>
          <w:szCs w:val="24"/>
        </w:rPr>
        <w:t>甲方（采购人）：</w:t>
      </w:r>
    </w:p>
    <w:p w14:paraId="5D246B81">
      <w:pPr>
        <w:snapToGrid w:val="0"/>
        <w:spacing w:beforeLines="0" w:afterLines="0" w:line="560" w:lineRule="exact"/>
        <w:jc w:val="left"/>
        <w:rPr>
          <w:rFonts w:hint="eastAsia" w:ascii="宋体" w:hAnsi="宋体" w:eastAsia="宋体" w:cs="宋体"/>
          <w:sz w:val="24"/>
          <w:szCs w:val="24"/>
        </w:rPr>
      </w:pPr>
      <w:r>
        <w:rPr>
          <w:rFonts w:hint="eastAsia" w:ascii="宋体" w:hAnsi="宋体" w:eastAsia="宋体" w:cs="宋体"/>
          <w:sz w:val="24"/>
          <w:szCs w:val="24"/>
        </w:rPr>
        <w:t>乙方（供应商）：</w:t>
      </w:r>
    </w:p>
    <w:p w14:paraId="59BE25CA">
      <w:pPr>
        <w:snapToGrid w:val="0"/>
        <w:spacing w:beforeLines="0" w:afterLines="0" w:line="56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根据甲方“</w:t>
      </w:r>
      <w:r>
        <w:rPr>
          <w:rFonts w:hint="eastAsia" w:ascii="宋体" w:hAnsi="宋体" w:eastAsia="宋体" w:cs="宋体"/>
          <w:sz w:val="24"/>
          <w:szCs w:val="24"/>
          <w:lang w:eastAsia="zh-CN"/>
        </w:rPr>
        <w:t>湖州学院消防设施年度检测及消防安全评估采购项目</w:t>
      </w:r>
      <w:r>
        <w:rPr>
          <w:rFonts w:hint="eastAsia" w:ascii="宋体" w:hAnsi="宋体" w:eastAsia="宋体" w:cs="宋体"/>
          <w:sz w:val="24"/>
          <w:szCs w:val="24"/>
        </w:rPr>
        <w:t>”</w:t>
      </w:r>
      <w:r>
        <w:rPr>
          <w:rFonts w:hint="eastAsia" w:ascii="宋体" w:hAnsi="宋体" w:eastAsia="宋体" w:cs="宋体"/>
          <w:sz w:val="24"/>
          <w:szCs w:val="24"/>
          <w:u w:val="single"/>
        </w:rPr>
        <w:t>（项目编号：</w:t>
      </w:r>
      <w:r>
        <w:rPr>
          <w:rFonts w:hint="eastAsia" w:ascii="宋体" w:hAnsi="宋体" w:eastAsia="宋体" w:cs="宋体"/>
          <w:sz w:val="24"/>
          <w:szCs w:val="24"/>
          <w:u w:val="single"/>
          <w:lang w:eastAsia="zh-CN"/>
        </w:rPr>
        <w:t>XZ2026024A</w:t>
      </w:r>
      <w:r>
        <w:rPr>
          <w:rFonts w:hint="eastAsia" w:ascii="宋体" w:hAnsi="宋体" w:eastAsia="宋体" w:cs="宋体"/>
          <w:sz w:val="24"/>
          <w:szCs w:val="24"/>
          <w:u w:val="single"/>
        </w:rPr>
        <w:t>）</w:t>
      </w:r>
      <w:r>
        <w:rPr>
          <w:rFonts w:hint="eastAsia" w:ascii="宋体" w:hAnsi="宋体" w:eastAsia="宋体" w:cs="宋体"/>
          <w:sz w:val="24"/>
          <w:szCs w:val="24"/>
        </w:rPr>
        <w:t>招标文件要求和乙方的投标文件及承诺，依据《中华人民共和国民法典》的有关规定，甲、乙双方按照平等互利、诚实信用的原则，经友好协商共同确定以下合同条款。</w:t>
      </w:r>
    </w:p>
    <w:p w14:paraId="787C9F23">
      <w:pPr>
        <w:snapToGrid w:val="0"/>
        <w:spacing w:beforeLines="0" w:afterLines="0" w:line="560" w:lineRule="exact"/>
        <w:ind w:firstLine="482" w:firstLineChars="200"/>
        <w:jc w:val="left"/>
        <w:rPr>
          <w:rFonts w:hint="eastAsia" w:ascii="宋体" w:hAnsi="宋体" w:eastAsia="宋体" w:cs="宋体"/>
          <w:b/>
          <w:bCs/>
          <w:sz w:val="24"/>
          <w:szCs w:val="24"/>
        </w:rPr>
      </w:pPr>
      <w:r>
        <w:rPr>
          <w:rFonts w:hint="eastAsia" w:ascii="宋体" w:hAnsi="宋体" w:eastAsia="宋体" w:cs="宋体"/>
          <w:b/>
          <w:bCs/>
          <w:sz w:val="24"/>
          <w:szCs w:val="24"/>
          <w:lang w:eastAsia="zh-CN"/>
        </w:rPr>
        <w:t>一、</w:t>
      </w:r>
      <w:r>
        <w:rPr>
          <w:rFonts w:hint="eastAsia" w:ascii="宋体" w:hAnsi="宋体" w:eastAsia="宋体" w:cs="宋体"/>
          <w:b/>
          <w:bCs/>
          <w:sz w:val="24"/>
          <w:szCs w:val="24"/>
        </w:rPr>
        <w:t>合同项目与内容</w:t>
      </w:r>
    </w:p>
    <w:p w14:paraId="4CEAA945">
      <w:pPr>
        <w:snapToGrid w:val="0"/>
        <w:spacing w:beforeLines="0" w:afterLines="0" w:line="560" w:lineRule="exact"/>
        <w:ind w:firstLine="480" w:firstLineChars="200"/>
        <w:jc w:val="left"/>
        <w:rPr>
          <w:rFonts w:hint="eastAsia" w:ascii="宋体" w:hAnsi="宋体" w:eastAsia="宋体" w:cs="宋体"/>
          <w:sz w:val="24"/>
          <w:szCs w:val="24"/>
          <w:u w:val="single"/>
        </w:rPr>
      </w:pPr>
      <w:r>
        <w:rPr>
          <w:rFonts w:hint="eastAsia" w:ascii="宋体" w:hAnsi="宋体" w:eastAsia="宋体" w:cs="宋体"/>
          <w:sz w:val="24"/>
          <w:szCs w:val="24"/>
        </w:rPr>
        <w:t>1.1合同项目：</w:t>
      </w:r>
      <w:r>
        <w:rPr>
          <w:rFonts w:hint="eastAsia" w:ascii="宋体" w:hAnsi="宋体" w:eastAsia="宋体" w:cs="宋体"/>
          <w:sz w:val="24"/>
          <w:szCs w:val="24"/>
          <w:u w:val="single"/>
          <w:lang w:eastAsia="zh-CN"/>
        </w:rPr>
        <w:t>湖州学院消防设施年度检测及消防安全评估采购项目</w:t>
      </w:r>
      <w:r>
        <w:rPr>
          <w:rFonts w:hint="eastAsia" w:ascii="宋体" w:hAnsi="宋体" w:eastAsia="宋体" w:cs="宋体"/>
          <w:sz w:val="24"/>
          <w:szCs w:val="24"/>
          <w:u w:val="single"/>
        </w:rPr>
        <w:t>（项目编号：</w:t>
      </w:r>
      <w:r>
        <w:rPr>
          <w:rFonts w:hint="eastAsia" w:ascii="宋体" w:hAnsi="宋体" w:eastAsia="宋体" w:cs="宋体"/>
          <w:sz w:val="24"/>
          <w:szCs w:val="24"/>
          <w:u w:val="single"/>
          <w:lang w:eastAsia="zh-CN"/>
        </w:rPr>
        <w:t>XZ2026024A</w:t>
      </w:r>
      <w:r>
        <w:rPr>
          <w:rFonts w:hint="eastAsia" w:ascii="宋体" w:hAnsi="宋体" w:eastAsia="宋体" w:cs="宋体"/>
          <w:sz w:val="24"/>
          <w:szCs w:val="24"/>
          <w:u w:val="single"/>
        </w:rPr>
        <w:t>）；</w:t>
      </w:r>
    </w:p>
    <w:p w14:paraId="3DD0B673">
      <w:pPr>
        <w:spacing w:beforeLines="0" w:afterLines="0" w:line="560" w:lineRule="exact"/>
        <w:ind w:firstLine="420"/>
        <w:rPr>
          <w:rFonts w:hint="eastAsia" w:ascii="宋体" w:hAnsi="宋体" w:eastAsia="宋体" w:cs="宋体"/>
          <w:sz w:val="24"/>
          <w:szCs w:val="24"/>
        </w:rPr>
      </w:pPr>
      <w:r>
        <w:rPr>
          <w:rFonts w:hint="eastAsia" w:ascii="宋体" w:hAnsi="宋体" w:eastAsia="宋体" w:cs="宋体"/>
          <w:sz w:val="24"/>
          <w:szCs w:val="24"/>
        </w:rPr>
        <w:t>1.2合同金额：人民币</w:t>
      </w:r>
      <w:r>
        <w:rPr>
          <w:rFonts w:hint="eastAsia" w:ascii="宋体" w:hAnsi="宋体" w:eastAsia="宋体" w:cs="宋体"/>
          <w:sz w:val="24"/>
          <w:szCs w:val="24"/>
          <w:u w:val="single"/>
        </w:rPr>
        <w:t>（大写）</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rPr>
        <w:t>元整；（小写）</w:t>
      </w:r>
      <w:r>
        <w:rPr>
          <w:rFonts w:hint="eastAsia" w:ascii="宋体" w:hAnsi="宋体" w:eastAsia="宋体" w:cs="宋体"/>
          <w:sz w:val="24"/>
          <w:szCs w:val="24"/>
          <w:u w:val="none"/>
          <w:lang w:val="en-US" w:eastAsia="zh-CN"/>
        </w:rPr>
        <w:t>¥</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rPr>
        <w:t>元</w:t>
      </w:r>
      <w:r>
        <w:rPr>
          <w:rFonts w:hint="eastAsia" w:ascii="宋体" w:hAnsi="宋体" w:eastAsia="宋体" w:cs="宋体"/>
          <w:sz w:val="24"/>
          <w:szCs w:val="24"/>
        </w:rPr>
        <w:t>；本合同的价款为含税价，已包含乙方为履行本合同义务所需的全部费用</w:t>
      </w:r>
      <w:r>
        <w:rPr>
          <w:rFonts w:hint="eastAsia" w:ascii="宋体" w:hAnsi="宋体" w:eastAsia="宋体" w:cs="宋体"/>
          <w:sz w:val="24"/>
          <w:szCs w:val="24"/>
          <w:lang w:eastAsia="zh-CN"/>
        </w:rPr>
        <w:t>，</w:t>
      </w:r>
      <w:r>
        <w:rPr>
          <w:rFonts w:hint="eastAsia" w:ascii="宋体" w:hAnsi="宋体" w:eastAsia="宋体" w:cs="宋体"/>
          <w:sz w:val="24"/>
          <w:szCs w:val="24"/>
        </w:rPr>
        <w:t>结算总价款上限不得超过固定总价。</w:t>
      </w:r>
    </w:p>
    <w:p w14:paraId="5F37EC9E">
      <w:pPr>
        <w:snapToGrid w:val="0"/>
        <w:spacing w:beforeLines="0" w:afterLines="0" w:line="560" w:lineRule="exact"/>
        <w:ind w:firstLine="480" w:firstLineChars="200"/>
        <w:jc w:val="left"/>
        <w:rPr>
          <w:rFonts w:hint="default" w:ascii="宋体" w:hAnsi="宋体" w:eastAsia="宋体" w:cs="宋体"/>
          <w:sz w:val="24"/>
          <w:szCs w:val="24"/>
          <w:lang w:val="en-US" w:eastAsia="zh-CN"/>
        </w:rPr>
      </w:pPr>
      <w:r>
        <w:rPr>
          <w:rFonts w:hint="eastAsia" w:ascii="宋体" w:hAnsi="宋体" w:eastAsia="宋体" w:cs="宋体"/>
          <w:sz w:val="24"/>
          <w:szCs w:val="24"/>
        </w:rPr>
        <w:t>1.3</w:t>
      </w:r>
      <w:r>
        <w:rPr>
          <w:rFonts w:hint="eastAsia" w:ascii="宋体" w:hAnsi="宋体" w:eastAsia="宋体" w:cs="宋体"/>
          <w:sz w:val="24"/>
          <w:szCs w:val="24"/>
          <w:lang w:val="en-US" w:eastAsia="zh-CN"/>
        </w:rPr>
        <w:t>服务</w:t>
      </w:r>
      <w:r>
        <w:rPr>
          <w:rFonts w:hint="eastAsia" w:ascii="宋体" w:hAnsi="宋体" w:eastAsia="宋体" w:cs="宋体"/>
          <w:sz w:val="24"/>
          <w:szCs w:val="24"/>
        </w:rPr>
        <w:t>内容：</w:t>
      </w:r>
      <w:r>
        <w:rPr>
          <w:rFonts w:hint="eastAsia" w:ascii="宋体" w:hAnsi="宋体" w:eastAsia="宋体" w:cs="宋体"/>
          <w:sz w:val="24"/>
          <w:szCs w:val="24"/>
          <w:u w:val="single"/>
        </w:rPr>
        <w:t>乙方提供满足国家、行业法律法规、采购文件</w:t>
      </w:r>
      <w:r>
        <w:rPr>
          <w:rFonts w:hint="eastAsia" w:ascii="宋体" w:hAnsi="宋体" w:eastAsia="宋体" w:cs="宋体"/>
          <w:sz w:val="24"/>
          <w:szCs w:val="24"/>
          <w:u w:val="single"/>
          <w:lang w:val="en-US" w:eastAsia="zh-CN"/>
        </w:rPr>
        <w:t>及投标文件</w:t>
      </w:r>
      <w:r>
        <w:rPr>
          <w:rFonts w:hint="eastAsia" w:ascii="宋体" w:hAnsi="宋体" w:eastAsia="宋体" w:cs="宋体"/>
          <w:sz w:val="24"/>
          <w:szCs w:val="24"/>
          <w:u w:val="single"/>
        </w:rPr>
        <w:t>要求的消防设施年度检测</w:t>
      </w:r>
      <w:r>
        <w:rPr>
          <w:rFonts w:hint="eastAsia" w:ascii="宋体" w:hAnsi="宋体" w:eastAsia="宋体" w:cs="宋体"/>
          <w:sz w:val="24"/>
          <w:szCs w:val="24"/>
          <w:u w:val="single"/>
          <w:lang w:val="en-US" w:eastAsia="zh-CN"/>
        </w:rPr>
        <w:t>和</w:t>
      </w:r>
      <w:r>
        <w:rPr>
          <w:rFonts w:hint="eastAsia" w:ascii="宋体" w:hAnsi="宋体" w:eastAsia="宋体" w:cs="宋体"/>
          <w:sz w:val="24"/>
          <w:szCs w:val="24"/>
          <w:u w:val="single"/>
        </w:rPr>
        <w:t>消防安全评估服务</w:t>
      </w:r>
      <w:r>
        <w:rPr>
          <w:rFonts w:hint="eastAsia" w:ascii="宋体" w:hAnsi="宋体" w:eastAsia="宋体" w:cs="宋体"/>
          <w:sz w:val="24"/>
          <w:szCs w:val="24"/>
          <w:u w:val="single"/>
          <w:lang w:eastAsia="zh-CN"/>
        </w:rPr>
        <w:t>，最终出具经消防部门认可的检测、评估报告</w:t>
      </w:r>
      <w:r>
        <w:rPr>
          <w:rFonts w:hint="eastAsia" w:ascii="宋体" w:hAnsi="宋体" w:eastAsia="宋体" w:cs="宋体"/>
          <w:sz w:val="24"/>
          <w:szCs w:val="24"/>
          <w:u w:val="single"/>
          <w:lang w:val="en-US" w:eastAsia="zh-CN"/>
        </w:rPr>
        <w:t>。</w:t>
      </w:r>
    </w:p>
    <w:p w14:paraId="5809D044">
      <w:pPr>
        <w:snapToGrid w:val="0"/>
        <w:spacing w:beforeLines="0" w:afterLines="0" w:line="560" w:lineRule="exact"/>
        <w:ind w:firstLine="482" w:firstLineChars="200"/>
        <w:jc w:val="left"/>
        <w:outlineLvl w:val="2"/>
        <w:rPr>
          <w:rFonts w:hint="eastAsia" w:ascii="宋体" w:hAnsi="宋体" w:eastAsia="宋体" w:cs="宋体"/>
          <w:b/>
          <w:bCs/>
          <w:sz w:val="24"/>
          <w:szCs w:val="24"/>
        </w:rPr>
      </w:pPr>
      <w:r>
        <w:rPr>
          <w:rFonts w:hint="eastAsia" w:ascii="宋体" w:hAnsi="宋体" w:eastAsia="宋体" w:cs="宋体"/>
          <w:b/>
          <w:bCs/>
          <w:sz w:val="24"/>
          <w:szCs w:val="24"/>
          <w:lang w:eastAsia="zh-CN"/>
        </w:rPr>
        <w:t>二、</w:t>
      </w:r>
      <w:r>
        <w:rPr>
          <w:rFonts w:hint="eastAsia" w:ascii="宋体" w:hAnsi="宋体" w:eastAsia="宋体" w:cs="宋体"/>
          <w:b/>
          <w:bCs/>
          <w:sz w:val="24"/>
          <w:szCs w:val="24"/>
        </w:rPr>
        <w:t>服务时间与服务地点</w:t>
      </w:r>
    </w:p>
    <w:p w14:paraId="49A1E640">
      <w:pPr>
        <w:snapToGrid w:val="0"/>
        <w:spacing w:beforeLines="0" w:afterLines="0" w:line="560" w:lineRule="exact"/>
        <w:ind w:firstLine="480" w:firstLineChars="200"/>
        <w:jc w:val="lef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2.1项目交付截止时间：</w:t>
      </w:r>
      <w:r>
        <w:rPr>
          <w:rFonts w:hint="eastAsia" w:ascii="宋体" w:hAnsi="宋体" w:eastAsia="宋体" w:cs="宋体"/>
          <w:color w:val="auto"/>
          <w:sz w:val="24"/>
          <w:szCs w:val="24"/>
          <w:u w:val="single"/>
          <w:lang w:val="en-US" w:eastAsia="zh-CN"/>
        </w:rPr>
        <w:t xml:space="preserve">  2026年11月22日前  ；</w:t>
      </w:r>
    </w:p>
    <w:p w14:paraId="7E7E4CEC">
      <w:pPr>
        <w:snapToGrid w:val="0"/>
        <w:spacing w:beforeLines="0" w:afterLines="0" w:line="560" w:lineRule="exact"/>
        <w:ind w:firstLine="480" w:firstLineChars="200"/>
        <w:jc w:val="left"/>
        <w:rPr>
          <w:rFonts w:hint="default" w:ascii="宋体" w:hAnsi="宋体" w:eastAsia="宋体" w:cs="宋体"/>
          <w:sz w:val="24"/>
          <w:szCs w:val="24"/>
          <w:lang w:val="en-US" w:eastAsia="zh-CN"/>
        </w:rPr>
      </w:pPr>
      <w:r>
        <w:rPr>
          <w:rFonts w:hint="eastAsia" w:ascii="宋体" w:hAnsi="宋体" w:eastAsia="宋体" w:cs="宋体"/>
          <w:sz w:val="24"/>
          <w:szCs w:val="24"/>
        </w:rPr>
        <w:t>2.2服务地点：</w:t>
      </w:r>
      <w:r>
        <w:rPr>
          <w:rFonts w:hint="eastAsia" w:ascii="宋体" w:hAnsi="宋体" w:eastAsia="宋体" w:cs="宋体"/>
          <w:sz w:val="24"/>
          <w:szCs w:val="24"/>
          <w:u w:val="single"/>
          <w:lang w:val="en-US" w:eastAsia="zh-CN"/>
        </w:rPr>
        <w:t xml:space="preserve">   湖州学院   </w:t>
      </w:r>
    </w:p>
    <w:p w14:paraId="3D4C7C43">
      <w:pPr>
        <w:snapToGrid w:val="0"/>
        <w:spacing w:beforeLines="0" w:afterLines="0" w:line="560" w:lineRule="exact"/>
        <w:ind w:firstLine="482" w:firstLineChars="200"/>
        <w:jc w:val="left"/>
        <w:outlineLvl w:val="2"/>
        <w:rPr>
          <w:rFonts w:hint="eastAsia" w:ascii="宋体" w:hAnsi="宋体" w:eastAsia="宋体" w:cs="宋体"/>
          <w:b/>
          <w:bCs/>
          <w:sz w:val="24"/>
          <w:szCs w:val="24"/>
        </w:rPr>
      </w:pPr>
      <w:r>
        <w:rPr>
          <w:rFonts w:hint="eastAsia" w:ascii="宋体" w:hAnsi="宋体" w:eastAsia="宋体" w:cs="宋体"/>
          <w:b/>
          <w:bCs/>
          <w:sz w:val="24"/>
          <w:szCs w:val="24"/>
          <w:lang w:val="en-US" w:eastAsia="zh-CN"/>
        </w:rPr>
        <w:t>三、</w:t>
      </w:r>
      <w:r>
        <w:rPr>
          <w:rFonts w:hint="eastAsia" w:ascii="宋体" w:hAnsi="宋体" w:eastAsia="宋体" w:cs="宋体"/>
          <w:b/>
          <w:bCs/>
          <w:sz w:val="24"/>
          <w:szCs w:val="24"/>
        </w:rPr>
        <w:t>技术规范</w:t>
      </w:r>
    </w:p>
    <w:p w14:paraId="3D11733E">
      <w:pPr>
        <w:snapToGrid w:val="0"/>
        <w:spacing w:beforeLines="0" w:afterLines="0" w:line="56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3.1本合同执行国家及本省、市现行项目实施及验收规范及有关条例、实施办法等</w:t>
      </w:r>
      <w:r>
        <w:rPr>
          <w:rFonts w:hint="eastAsia" w:ascii="宋体" w:hAnsi="宋体" w:eastAsia="宋体" w:cs="宋体"/>
          <w:sz w:val="24"/>
          <w:szCs w:val="24"/>
          <w:lang w:eastAsia="zh-CN"/>
        </w:rPr>
        <w:t>，</w:t>
      </w:r>
      <w:r>
        <w:rPr>
          <w:rFonts w:hint="eastAsia" w:ascii="宋体" w:hAnsi="宋体" w:eastAsia="宋体" w:cs="宋体"/>
          <w:sz w:val="24"/>
          <w:szCs w:val="24"/>
        </w:rPr>
        <w:t>以最新版本为准；</w:t>
      </w:r>
    </w:p>
    <w:p w14:paraId="5F0E87AA">
      <w:pPr>
        <w:snapToGrid w:val="0"/>
        <w:spacing w:beforeLines="0" w:afterLines="0" w:line="56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3.2提供和交付的服务技术规范应与</w:t>
      </w:r>
      <w:r>
        <w:rPr>
          <w:rFonts w:hint="eastAsia" w:ascii="宋体" w:hAnsi="宋体" w:eastAsia="宋体" w:cs="宋体"/>
          <w:sz w:val="24"/>
          <w:szCs w:val="24"/>
          <w:lang w:val="en-US" w:eastAsia="zh-CN"/>
        </w:rPr>
        <w:t>采购</w:t>
      </w:r>
      <w:r>
        <w:rPr>
          <w:rFonts w:hint="eastAsia" w:ascii="宋体" w:hAnsi="宋体" w:eastAsia="宋体" w:cs="宋体"/>
          <w:sz w:val="24"/>
          <w:szCs w:val="24"/>
        </w:rPr>
        <w:t>文件规定的技术规范相一致。</w:t>
      </w:r>
    </w:p>
    <w:p w14:paraId="56AA1A66">
      <w:pPr>
        <w:spacing w:beforeLines="0" w:afterLines="0" w:line="560" w:lineRule="exact"/>
        <w:ind w:firstLine="482" w:firstLineChars="200"/>
        <w:outlineLvl w:val="2"/>
        <w:rPr>
          <w:rFonts w:hint="eastAsia" w:ascii="宋体" w:hAnsi="宋体" w:eastAsia="宋体" w:cs="宋体"/>
          <w:b/>
          <w:bCs/>
          <w:sz w:val="24"/>
          <w:szCs w:val="24"/>
        </w:rPr>
      </w:pPr>
      <w:r>
        <w:rPr>
          <w:rFonts w:hint="eastAsia" w:ascii="宋体" w:hAnsi="宋体" w:eastAsia="宋体" w:cs="宋体"/>
          <w:b/>
          <w:bCs/>
          <w:sz w:val="24"/>
          <w:szCs w:val="24"/>
          <w:lang w:val="en-US" w:eastAsia="zh-CN"/>
        </w:rPr>
        <w:t>四、</w:t>
      </w:r>
      <w:r>
        <w:rPr>
          <w:rFonts w:hint="eastAsia" w:ascii="宋体" w:hAnsi="宋体" w:eastAsia="宋体" w:cs="宋体"/>
          <w:b/>
          <w:bCs/>
          <w:sz w:val="24"/>
          <w:szCs w:val="24"/>
        </w:rPr>
        <w:t>付款方式</w:t>
      </w:r>
    </w:p>
    <w:p w14:paraId="523AFE20">
      <w:pPr>
        <w:spacing w:beforeLines="0" w:afterLines="0"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.1中标人完成全部检测及评估工作，出具符合国家、行业、浙江省现行技术标准，客观、真实、完整的评估报告，并提供正规的采购人认可的发票后，采购人20个工作日内一次性付清合同款。</w:t>
      </w:r>
    </w:p>
    <w:p w14:paraId="3E3E10C8">
      <w:pPr>
        <w:spacing w:beforeLines="0" w:afterLines="0"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.2款项申请给付前，乙方应向甲方开具并交付足额、合规的增值税（专用/普通）发票，甲方自收到发票后在约定期限内，向乙方</w:t>
      </w:r>
      <w:r>
        <w:rPr>
          <w:rFonts w:hint="eastAsia" w:ascii="宋体" w:hAnsi="宋体" w:eastAsia="宋体" w:cs="宋体"/>
          <w:sz w:val="24"/>
          <w:szCs w:val="24"/>
          <w:lang w:val="en-US" w:eastAsia="zh-CN"/>
        </w:rPr>
        <w:t>交</w:t>
      </w:r>
      <w:r>
        <w:rPr>
          <w:rFonts w:hint="eastAsia" w:ascii="宋体" w:hAnsi="宋体" w:eastAsia="宋体" w:cs="宋体"/>
          <w:sz w:val="24"/>
          <w:szCs w:val="24"/>
        </w:rPr>
        <w:t>付对应款项。</w:t>
      </w:r>
    </w:p>
    <w:p w14:paraId="6821D9B2">
      <w:pPr>
        <w:spacing w:beforeLines="0" w:afterLines="0"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4.3</w:t>
      </w:r>
      <w:r>
        <w:rPr>
          <w:rFonts w:hint="eastAsia" w:ascii="宋体" w:hAnsi="宋体" w:eastAsia="宋体" w:cs="宋体"/>
          <w:sz w:val="24"/>
          <w:szCs w:val="24"/>
        </w:rPr>
        <w:t>税费：本服务执行中相关的一切税费均由乙方负担。</w:t>
      </w:r>
    </w:p>
    <w:p w14:paraId="383A6821">
      <w:pPr>
        <w:snapToGrid w:val="0"/>
        <w:spacing w:beforeLines="0" w:afterLines="0" w:line="560" w:lineRule="exact"/>
        <w:ind w:firstLine="482" w:firstLineChars="200"/>
        <w:jc w:val="left"/>
        <w:outlineLvl w:val="2"/>
        <w:rPr>
          <w:rFonts w:hint="eastAsia" w:ascii="宋体" w:hAnsi="宋体" w:eastAsia="宋体" w:cs="宋体"/>
          <w:b/>
          <w:bCs/>
          <w:sz w:val="24"/>
          <w:szCs w:val="24"/>
        </w:rPr>
      </w:pPr>
      <w:r>
        <w:rPr>
          <w:rFonts w:hint="eastAsia" w:ascii="宋体" w:hAnsi="宋体" w:eastAsia="宋体" w:cs="宋体"/>
          <w:b/>
          <w:bCs/>
          <w:sz w:val="24"/>
          <w:szCs w:val="24"/>
          <w:lang w:val="en-US" w:eastAsia="zh-CN"/>
        </w:rPr>
        <w:t>五、</w:t>
      </w:r>
      <w:r>
        <w:rPr>
          <w:rFonts w:hint="eastAsia" w:ascii="宋体" w:hAnsi="宋体" w:eastAsia="宋体" w:cs="宋体"/>
          <w:b/>
          <w:bCs/>
          <w:sz w:val="24"/>
          <w:szCs w:val="24"/>
        </w:rPr>
        <w:t>验收</w:t>
      </w:r>
    </w:p>
    <w:p w14:paraId="21E0D1F6">
      <w:pPr>
        <w:spacing w:beforeLines="0" w:afterLines="0" w:line="560" w:lineRule="exact"/>
        <w:ind w:firstLine="420"/>
        <w:jc w:val="left"/>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.1</w:t>
      </w:r>
      <w:r>
        <w:rPr>
          <w:rFonts w:hint="eastAsia" w:ascii="宋体" w:hAnsi="宋体" w:eastAsia="宋体" w:cs="宋体"/>
          <w:sz w:val="24"/>
          <w:szCs w:val="24"/>
          <w:highlight w:val="none"/>
        </w:rPr>
        <w:t>乙方完成合同范围的工作</w:t>
      </w:r>
      <w:r>
        <w:rPr>
          <w:rFonts w:hint="eastAsia" w:ascii="宋体" w:hAnsi="宋体" w:eastAsia="宋体" w:cs="宋体"/>
          <w:sz w:val="24"/>
          <w:szCs w:val="24"/>
        </w:rPr>
        <w:t>，并经自查符合合同要求后，以书面形式向甲方提出验收申请，</w:t>
      </w:r>
      <w:r>
        <w:rPr>
          <w:rFonts w:hint="eastAsia" w:ascii="宋体" w:hAnsi="宋体" w:eastAsia="宋体" w:cs="宋体"/>
          <w:sz w:val="24"/>
          <w:szCs w:val="24"/>
          <w:lang w:val="en-US" w:eastAsia="zh-CN"/>
        </w:rPr>
        <w:t>并</w:t>
      </w:r>
      <w:r>
        <w:rPr>
          <w:rFonts w:hint="eastAsia" w:ascii="宋体" w:hAnsi="宋体" w:eastAsia="宋体" w:cs="宋体"/>
          <w:sz w:val="24"/>
          <w:szCs w:val="24"/>
        </w:rPr>
        <w:t>提供相关材料，由甲方组织相关部门进行验收。当验收结果与合同要求不符时，应书面告知乙方排除故障或消除缺陷，并重新进行本项目的验收。验收依据以本合同及附件规定为准。</w:t>
      </w:r>
    </w:p>
    <w:p w14:paraId="2490673D">
      <w:pPr>
        <w:spacing w:beforeLines="0" w:afterLines="0" w:line="560" w:lineRule="exact"/>
        <w:ind w:firstLine="420"/>
        <w:jc w:val="left"/>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服务质量保证：乙方应保证服务过程的规范性、科学性，服务过程中不得侵犯甲方的合法权益。本项目将依据《湖州学院采购项目验收管理办法（试行）》对项目过程性材料及完成结果进行验收，项目验收不合格的，由项目验收小组提出限期整改意见，并告知乙方及甲方，若整改后仍不合格，甲方有权选择由第三方机构进行检测评估，所产生的费用由乙方承担；或者甲方有权单方解除合同，乙方应退还已收取的全部款项（如有），并向甲方支付合同总额【</w:t>
      </w:r>
      <w:r>
        <w:rPr>
          <w:rFonts w:hint="eastAsia" w:ascii="宋体" w:hAnsi="宋体" w:eastAsia="宋体" w:cs="宋体"/>
          <w:sz w:val="24"/>
          <w:szCs w:val="24"/>
          <w:lang w:val="en-US" w:eastAsia="zh-CN"/>
        </w:rPr>
        <w:t>30</w:t>
      </w:r>
      <w:r>
        <w:rPr>
          <w:rFonts w:hint="eastAsia" w:ascii="宋体" w:hAnsi="宋体" w:eastAsia="宋体" w:cs="宋体"/>
          <w:sz w:val="24"/>
          <w:szCs w:val="24"/>
        </w:rPr>
        <w:t>】%的违约金。</w:t>
      </w:r>
    </w:p>
    <w:p w14:paraId="7D668D1C">
      <w:pPr>
        <w:snapToGrid w:val="0"/>
        <w:spacing w:beforeLines="0" w:afterLines="0" w:line="560" w:lineRule="exact"/>
        <w:ind w:firstLine="482" w:firstLineChars="200"/>
        <w:jc w:val="left"/>
        <w:outlineLvl w:val="2"/>
        <w:rPr>
          <w:rFonts w:hint="eastAsia" w:ascii="宋体" w:hAnsi="宋体" w:eastAsia="宋体" w:cs="宋体"/>
          <w:b/>
          <w:bCs/>
          <w:sz w:val="24"/>
          <w:szCs w:val="24"/>
        </w:rPr>
      </w:pPr>
      <w:r>
        <w:rPr>
          <w:rFonts w:hint="eastAsia" w:ascii="宋体" w:hAnsi="宋体" w:eastAsia="宋体" w:cs="宋体"/>
          <w:b/>
          <w:bCs/>
          <w:sz w:val="24"/>
          <w:szCs w:val="24"/>
          <w:lang w:val="en-US" w:eastAsia="zh-CN"/>
        </w:rPr>
        <w:t>六</w:t>
      </w:r>
      <w:r>
        <w:rPr>
          <w:rFonts w:hint="eastAsia" w:ascii="宋体" w:hAnsi="宋体" w:eastAsia="宋体" w:cs="宋体"/>
          <w:b/>
          <w:bCs/>
          <w:sz w:val="24"/>
          <w:szCs w:val="24"/>
        </w:rPr>
        <w:t>、甲方的权利、义务</w:t>
      </w:r>
    </w:p>
    <w:p w14:paraId="3E6DACF8">
      <w:pPr>
        <w:snapToGrid w:val="0"/>
        <w:spacing w:beforeLines="0" w:afterLines="0" w:line="56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6.1</w:t>
      </w:r>
      <w:r>
        <w:rPr>
          <w:rFonts w:hint="eastAsia" w:ascii="宋体" w:hAnsi="宋体" w:eastAsia="宋体" w:cs="宋体"/>
          <w:sz w:val="24"/>
          <w:szCs w:val="24"/>
        </w:rPr>
        <w:t>审核乙方的消防设施年度检测和消防安全评估服务管理制度及服务方案，并监督其执行。</w:t>
      </w:r>
    </w:p>
    <w:p w14:paraId="0FB8D3D9">
      <w:pPr>
        <w:snapToGrid w:val="0"/>
        <w:spacing w:beforeLines="0" w:afterLines="0" w:line="56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6.2</w:t>
      </w:r>
      <w:r>
        <w:rPr>
          <w:rFonts w:hint="eastAsia" w:ascii="宋体" w:hAnsi="宋体" w:eastAsia="宋体" w:cs="宋体"/>
          <w:sz w:val="24"/>
          <w:szCs w:val="24"/>
        </w:rPr>
        <w:t>监督乙方消防设施年度检测和消防安全评估</w:t>
      </w:r>
      <w:r>
        <w:rPr>
          <w:rFonts w:hint="eastAsia" w:ascii="宋体" w:hAnsi="宋体" w:eastAsia="宋体" w:cs="宋体"/>
          <w:sz w:val="24"/>
          <w:szCs w:val="24"/>
          <w:lang w:val="en-US" w:eastAsia="zh-CN"/>
        </w:rPr>
        <w:t>服务</w:t>
      </w:r>
      <w:r>
        <w:rPr>
          <w:rFonts w:hint="eastAsia" w:ascii="宋体" w:hAnsi="宋体" w:eastAsia="宋体" w:cs="宋体"/>
          <w:sz w:val="24"/>
          <w:szCs w:val="24"/>
        </w:rPr>
        <w:t>人员实际配备情况，有权核查乙方机构资质证书和现场人员执业资格证书。</w:t>
      </w:r>
    </w:p>
    <w:p w14:paraId="272FAA5E">
      <w:pPr>
        <w:snapToGrid w:val="0"/>
        <w:spacing w:beforeLines="0" w:afterLines="0" w:line="560" w:lineRule="exact"/>
        <w:ind w:firstLine="480" w:firstLineChars="200"/>
        <w:jc w:val="left"/>
      </w:pPr>
      <w:r>
        <w:rPr>
          <w:rFonts w:hint="eastAsia" w:ascii="宋体" w:hAnsi="宋体" w:eastAsia="宋体" w:cs="宋体"/>
          <w:sz w:val="24"/>
          <w:szCs w:val="24"/>
          <w:lang w:val="en-US" w:eastAsia="zh-CN"/>
        </w:rPr>
        <w:t>6.3</w:t>
      </w:r>
      <w:r>
        <w:rPr>
          <w:rFonts w:hint="eastAsia" w:ascii="宋体" w:hAnsi="宋体" w:eastAsia="宋体" w:cs="宋体"/>
          <w:sz w:val="24"/>
          <w:szCs w:val="24"/>
        </w:rPr>
        <w:t>非因甲方原因，乙方服务工期内不能完成消防防设施年度检测和消防安全评估等相关服务，甲方有权解除合同，或要求乙方继续履行，并追究乙方违约责任。乙方每延期一天，需按合同总价</w:t>
      </w:r>
      <w:r>
        <w:rPr>
          <w:rFonts w:hint="eastAsia" w:ascii="宋体" w:hAnsi="宋体" w:eastAsia="宋体" w:cs="宋体"/>
          <w:sz w:val="24"/>
          <w:szCs w:val="24"/>
          <w:highlight w:val="none"/>
        </w:rPr>
        <w:t>的</w:t>
      </w:r>
      <w:r>
        <w:rPr>
          <w:rFonts w:hint="default" w:ascii="Times New Roman" w:hAnsi="Times New Roman" w:eastAsia="宋体" w:cs="Times New Roman"/>
          <w:sz w:val="24"/>
          <w:szCs w:val="24"/>
          <w:highlight w:val="none"/>
          <w:u w:val="single"/>
          <w:lang w:val="en-US" w:eastAsia="zh-CN"/>
        </w:rPr>
        <w:t xml:space="preserve"> 1‰ </w:t>
      </w:r>
      <w:r>
        <w:rPr>
          <w:rFonts w:hint="eastAsia" w:ascii="宋体" w:hAnsi="宋体" w:eastAsia="宋体" w:cs="宋体"/>
          <w:sz w:val="24"/>
          <w:szCs w:val="24"/>
        </w:rPr>
        <w:t>向甲方支付违约金。</w:t>
      </w:r>
    </w:p>
    <w:p w14:paraId="41DE4680">
      <w:pPr>
        <w:snapToGrid w:val="0"/>
        <w:spacing w:beforeLines="0" w:afterLines="0" w:line="5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6.4</w:t>
      </w:r>
      <w:r>
        <w:rPr>
          <w:rFonts w:hint="eastAsia" w:ascii="宋体" w:hAnsi="宋体" w:eastAsia="宋体" w:cs="宋体"/>
          <w:sz w:val="24"/>
          <w:szCs w:val="24"/>
          <w:highlight w:val="none"/>
        </w:rPr>
        <w:t>甲方向乙方提供</w:t>
      </w:r>
      <w:r>
        <w:rPr>
          <w:rFonts w:hint="eastAsia" w:ascii="宋体" w:hAnsi="宋体" w:eastAsia="宋体" w:cs="宋体"/>
          <w:sz w:val="24"/>
          <w:szCs w:val="24"/>
          <w:highlight w:val="none"/>
          <w:lang w:val="en-US" w:eastAsia="zh-CN"/>
        </w:rPr>
        <w:t>学校</w:t>
      </w:r>
      <w:r>
        <w:rPr>
          <w:rFonts w:hint="eastAsia" w:ascii="宋体" w:hAnsi="宋体" w:eastAsia="宋体" w:cs="宋体"/>
          <w:sz w:val="24"/>
          <w:szCs w:val="24"/>
          <w:highlight w:val="none"/>
        </w:rPr>
        <w:t>完整的消防图纸、消防点位图。</w:t>
      </w:r>
    </w:p>
    <w:p w14:paraId="00490E29">
      <w:pPr>
        <w:snapToGrid w:val="0"/>
        <w:spacing w:beforeLines="0" w:afterLines="0" w:line="56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6.5</w:t>
      </w:r>
      <w:r>
        <w:rPr>
          <w:rFonts w:hint="eastAsia" w:ascii="宋体" w:hAnsi="宋体" w:eastAsia="宋体" w:cs="宋体"/>
          <w:sz w:val="24"/>
          <w:szCs w:val="24"/>
        </w:rPr>
        <w:t>对乙方商业秘密（包括商业和技术、经营、管理、知识产权等）负有保密责任，如有泄密行为承担泄密责任。</w:t>
      </w:r>
    </w:p>
    <w:p w14:paraId="67A0389C">
      <w:pPr>
        <w:snapToGrid w:val="0"/>
        <w:spacing w:beforeLines="0" w:afterLines="0" w:line="560" w:lineRule="exact"/>
        <w:ind w:firstLine="482" w:firstLineChars="200"/>
        <w:jc w:val="left"/>
        <w:outlineLvl w:val="2"/>
        <w:rPr>
          <w:rFonts w:hint="eastAsia" w:ascii="宋体" w:hAnsi="宋体" w:eastAsia="宋体" w:cs="宋体"/>
          <w:b/>
          <w:bCs/>
          <w:sz w:val="24"/>
          <w:szCs w:val="24"/>
        </w:rPr>
      </w:pPr>
      <w:r>
        <w:rPr>
          <w:rFonts w:hint="eastAsia" w:ascii="宋体" w:hAnsi="宋体" w:eastAsia="宋体" w:cs="宋体"/>
          <w:b/>
          <w:bCs/>
          <w:sz w:val="24"/>
          <w:szCs w:val="24"/>
          <w:lang w:val="en-US" w:eastAsia="zh-CN"/>
        </w:rPr>
        <w:t>七</w:t>
      </w:r>
      <w:r>
        <w:rPr>
          <w:rFonts w:hint="eastAsia" w:ascii="宋体" w:hAnsi="宋体" w:eastAsia="宋体" w:cs="宋体"/>
          <w:b/>
          <w:bCs/>
          <w:sz w:val="24"/>
          <w:szCs w:val="24"/>
        </w:rPr>
        <w:t>、乙方的权利、义务</w:t>
      </w:r>
    </w:p>
    <w:p w14:paraId="1C15878F">
      <w:pPr>
        <w:snapToGrid w:val="0"/>
        <w:spacing w:beforeLines="0" w:afterLines="0" w:line="560" w:lineRule="exact"/>
        <w:ind w:firstLine="480" w:firstLineChars="200"/>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7.1</w:t>
      </w:r>
      <w:r>
        <w:rPr>
          <w:rFonts w:hint="eastAsia" w:ascii="宋体" w:hAnsi="宋体" w:eastAsia="宋体" w:cs="宋体"/>
          <w:sz w:val="24"/>
          <w:szCs w:val="24"/>
        </w:rPr>
        <w:t>乙方对甲方</w:t>
      </w:r>
      <w:r>
        <w:rPr>
          <w:rFonts w:hint="eastAsia" w:ascii="宋体" w:hAnsi="宋体" w:eastAsia="宋体" w:cs="宋体"/>
          <w:sz w:val="24"/>
          <w:szCs w:val="24"/>
          <w:lang w:val="en-US" w:eastAsia="zh-CN"/>
        </w:rPr>
        <w:t>要求的</w:t>
      </w:r>
      <w:r>
        <w:rPr>
          <w:rFonts w:hint="eastAsia" w:ascii="宋体" w:hAnsi="宋体" w:eastAsia="宋体" w:cs="宋体"/>
          <w:sz w:val="24"/>
          <w:szCs w:val="24"/>
        </w:rPr>
        <w:t>区域内消防设施进行检测，发现隐患，提出合理可行的整改意见和建议</w:t>
      </w:r>
      <w:r>
        <w:rPr>
          <w:rFonts w:hint="eastAsia" w:ascii="宋体" w:hAnsi="宋体" w:eastAsia="宋体" w:cs="宋体"/>
          <w:sz w:val="24"/>
          <w:szCs w:val="24"/>
          <w:lang w:eastAsia="zh-CN"/>
        </w:rPr>
        <w:t>，初次检测结束【7】个工作日内向采购人出具《检测情况反馈意见书》，并在收到采购人要求复检通知后组织人员进行复检，在完成现场检测后【</w:t>
      </w: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】个工作日内提交完整的、符合国家及行业要求认可的《建筑消防设施年度检测报告》，每幢楼一式贰份。</w:t>
      </w:r>
    </w:p>
    <w:p w14:paraId="35B848D0">
      <w:pPr>
        <w:snapToGrid w:val="0"/>
        <w:spacing w:beforeLines="0" w:afterLines="0" w:line="560" w:lineRule="exact"/>
        <w:ind w:firstLine="480" w:firstLineChars="200"/>
        <w:jc w:val="left"/>
        <w:rPr>
          <w:rFonts w:hint="eastAsia"/>
          <w:lang w:eastAsia="zh-CN"/>
        </w:rPr>
      </w:pPr>
      <w:r>
        <w:rPr>
          <w:rFonts w:hint="eastAsia" w:ascii="宋体" w:hAnsi="宋体" w:eastAsia="宋体" w:cs="宋体"/>
          <w:sz w:val="24"/>
          <w:szCs w:val="24"/>
          <w:lang w:val="en-US" w:eastAsia="zh-CN"/>
        </w:rPr>
        <w:t>7.2乙方</w:t>
      </w:r>
      <w:r>
        <w:rPr>
          <w:rFonts w:hint="eastAsia" w:ascii="宋体" w:hAnsi="宋体" w:eastAsia="宋体" w:cs="宋体"/>
          <w:sz w:val="24"/>
          <w:szCs w:val="24"/>
          <w:lang w:eastAsia="zh-CN"/>
        </w:rPr>
        <w:t>完成消防安全评估工</w:t>
      </w:r>
      <w:r>
        <w:rPr>
          <w:rFonts w:hint="eastAsia" w:ascii="宋体" w:hAnsi="宋体" w:eastAsia="宋体" w:cs="宋体"/>
          <w:color w:val="auto"/>
          <w:sz w:val="24"/>
          <w:szCs w:val="24"/>
          <w:lang w:eastAsia="zh-CN"/>
        </w:rPr>
        <w:t>作后，【</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lang w:eastAsia="zh-CN"/>
        </w:rPr>
        <w:t>】个工</w:t>
      </w:r>
      <w:r>
        <w:rPr>
          <w:rFonts w:hint="eastAsia" w:ascii="宋体" w:hAnsi="宋体" w:eastAsia="宋体" w:cs="宋体"/>
          <w:sz w:val="24"/>
          <w:szCs w:val="24"/>
          <w:lang w:eastAsia="zh-CN"/>
        </w:rPr>
        <w:t>作日内出具壹份《消防安全评估报告》，并经采购人组织的验收组验收合格。</w:t>
      </w:r>
    </w:p>
    <w:p w14:paraId="4502BF48">
      <w:pPr>
        <w:snapToGrid w:val="0"/>
        <w:spacing w:beforeLines="0" w:afterLines="0" w:line="560" w:lineRule="exact"/>
        <w:ind w:firstLine="480" w:firstLineChars="200"/>
        <w:jc w:val="left"/>
        <w:rPr>
          <w:rFonts w:hint="eastAsia" w:ascii="宋体" w:hAnsi="宋体" w:eastAsia="宋体" w:cs="宋体"/>
          <w:sz w:val="24"/>
          <w:lang w:val="en-US" w:eastAsia="zh-CN"/>
        </w:rPr>
      </w:pPr>
      <w:r>
        <w:rPr>
          <w:rFonts w:hint="eastAsia" w:ascii="宋体" w:hAnsi="宋体" w:eastAsia="宋体" w:cs="宋体"/>
          <w:sz w:val="24"/>
          <w:lang w:val="en-US" w:eastAsia="zh-CN"/>
        </w:rPr>
        <w:t>7.3违约责任：</w:t>
      </w:r>
    </w:p>
    <w:p w14:paraId="63F567D5">
      <w:pPr>
        <w:snapToGrid w:val="0"/>
        <w:spacing w:beforeLines="0" w:afterLines="0" w:line="560" w:lineRule="exact"/>
        <w:ind w:firstLine="480" w:firstLineChars="200"/>
        <w:jc w:val="left"/>
        <w:rPr>
          <w:rFonts w:hint="eastAsia" w:ascii="宋体" w:hAnsi="宋体" w:eastAsia="宋体" w:cs="宋体"/>
          <w:sz w:val="24"/>
        </w:rPr>
      </w:pPr>
      <w:r>
        <w:rPr>
          <w:rFonts w:hint="eastAsia" w:ascii="宋体" w:hAnsi="宋体" w:eastAsia="宋体" w:cs="宋体"/>
          <w:sz w:val="24"/>
          <w:lang w:val="en-US" w:eastAsia="zh-CN"/>
        </w:rPr>
        <w:t>（1）</w:t>
      </w:r>
      <w:r>
        <w:rPr>
          <w:rFonts w:hint="eastAsia" w:ascii="宋体" w:hAnsi="宋体" w:eastAsia="宋体" w:cs="宋体"/>
          <w:sz w:val="24"/>
        </w:rPr>
        <w:t>逾期违约：乙方未按合同约定时间提供服务或完成整改，每逾期一日，须向甲方支付合同总额千分之</w:t>
      </w:r>
      <w:r>
        <w:rPr>
          <w:rFonts w:hint="eastAsia" w:ascii="宋体" w:hAnsi="宋体" w:eastAsia="宋体" w:cs="宋体"/>
          <w:sz w:val="24"/>
          <w:lang w:eastAsia="zh-CN"/>
        </w:rPr>
        <w:t>【</w:t>
      </w:r>
      <w:r>
        <w:rPr>
          <w:rFonts w:hint="eastAsia" w:ascii="宋体" w:hAnsi="宋体" w:eastAsia="宋体" w:cs="宋体"/>
          <w:sz w:val="24"/>
          <w:lang w:val="en-US" w:eastAsia="zh-CN"/>
        </w:rPr>
        <w:t>一</w:t>
      </w:r>
      <w:r>
        <w:rPr>
          <w:rFonts w:hint="eastAsia" w:ascii="宋体" w:hAnsi="宋体" w:eastAsia="宋体" w:cs="宋体"/>
          <w:sz w:val="24"/>
          <w:lang w:eastAsia="zh-CN"/>
        </w:rPr>
        <w:t>】</w:t>
      </w:r>
      <w:r>
        <w:rPr>
          <w:rFonts w:hint="eastAsia" w:ascii="宋体" w:hAnsi="宋体" w:eastAsia="宋体" w:cs="宋体"/>
          <w:sz w:val="24"/>
        </w:rPr>
        <w:t>的违约金；逾期超过10日，甲方有权单方解除合同。</w:t>
      </w:r>
    </w:p>
    <w:p w14:paraId="4F80C1CC">
      <w:pPr>
        <w:snapToGrid w:val="0"/>
        <w:spacing w:beforeLines="0" w:afterLines="0" w:line="560" w:lineRule="exact"/>
        <w:ind w:firstLine="480" w:firstLineChars="200"/>
        <w:jc w:val="left"/>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2</w:t>
      </w:r>
      <w:r>
        <w:rPr>
          <w:rFonts w:hint="eastAsia" w:ascii="宋体" w:hAnsi="宋体" w:eastAsia="宋体" w:cs="宋体"/>
          <w:sz w:val="24"/>
          <w:lang w:eastAsia="zh-CN"/>
        </w:rPr>
        <w:t>）</w:t>
      </w:r>
      <w:r>
        <w:rPr>
          <w:rFonts w:hint="eastAsia" w:ascii="宋体" w:hAnsi="宋体" w:eastAsia="宋体" w:cs="宋体"/>
          <w:sz w:val="24"/>
        </w:rPr>
        <w:t>人员违约：擅自更换不具备同等资质的人员，每次扣除违约金</w:t>
      </w:r>
      <w:r>
        <w:rPr>
          <w:rFonts w:hint="eastAsia" w:ascii="宋体" w:hAnsi="宋体" w:eastAsia="宋体" w:cs="宋体"/>
          <w:sz w:val="24"/>
          <w:lang w:eastAsia="zh-CN"/>
        </w:rPr>
        <w:t>【</w:t>
      </w:r>
      <w:r>
        <w:rPr>
          <w:rFonts w:hint="eastAsia" w:ascii="宋体" w:hAnsi="宋体" w:eastAsia="宋体" w:cs="宋体"/>
          <w:sz w:val="24"/>
          <w:lang w:val="en-US" w:eastAsia="zh-CN"/>
        </w:rPr>
        <w:t>500</w:t>
      </w:r>
      <w:r>
        <w:rPr>
          <w:rFonts w:hint="eastAsia" w:ascii="宋体" w:hAnsi="宋体" w:eastAsia="宋体" w:cs="宋体"/>
          <w:sz w:val="24"/>
          <w:lang w:eastAsia="zh-CN"/>
        </w:rPr>
        <w:t>】</w:t>
      </w:r>
      <w:r>
        <w:rPr>
          <w:rFonts w:hint="eastAsia" w:ascii="宋体" w:hAnsi="宋体" w:eastAsia="宋体" w:cs="宋体"/>
          <w:sz w:val="24"/>
        </w:rPr>
        <w:t>元。</w:t>
      </w:r>
    </w:p>
    <w:p w14:paraId="207231D6">
      <w:pPr>
        <w:snapToGrid w:val="0"/>
        <w:spacing w:beforeLines="0" w:afterLines="0" w:line="560" w:lineRule="exact"/>
        <w:ind w:firstLine="480" w:firstLineChars="200"/>
        <w:jc w:val="left"/>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3</w:t>
      </w:r>
      <w:r>
        <w:rPr>
          <w:rFonts w:hint="eastAsia" w:ascii="宋体" w:hAnsi="宋体" w:eastAsia="宋体" w:cs="宋体"/>
          <w:sz w:val="24"/>
          <w:lang w:eastAsia="zh-CN"/>
        </w:rPr>
        <w:t>）</w:t>
      </w:r>
      <w:r>
        <w:rPr>
          <w:rFonts w:hint="eastAsia" w:ascii="宋体" w:hAnsi="宋体" w:eastAsia="宋体" w:cs="宋体"/>
          <w:sz w:val="24"/>
        </w:rPr>
        <w:t>事故责任：在合同履行期间，因乙方</w:t>
      </w:r>
      <w:r>
        <w:rPr>
          <w:rFonts w:hint="eastAsia" w:ascii="宋体" w:hAnsi="宋体" w:eastAsia="宋体" w:cs="宋体"/>
          <w:sz w:val="24"/>
          <w:lang w:val="en-US" w:eastAsia="zh-CN"/>
        </w:rPr>
        <w:t>原因（包括但不限于操作</w:t>
      </w:r>
      <w:r>
        <w:rPr>
          <w:rFonts w:hint="eastAsia" w:ascii="宋体" w:hAnsi="宋体" w:eastAsia="宋体" w:cs="宋体"/>
          <w:sz w:val="24"/>
        </w:rPr>
        <w:t>不当、误操作</w:t>
      </w:r>
      <w:r>
        <w:rPr>
          <w:rFonts w:hint="eastAsia" w:ascii="宋体" w:hAnsi="宋体" w:eastAsia="宋体" w:cs="宋体"/>
          <w:sz w:val="24"/>
          <w:lang w:val="en-US" w:eastAsia="zh-CN"/>
        </w:rPr>
        <w:t>等）</w:t>
      </w:r>
      <w:r>
        <w:rPr>
          <w:rFonts w:hint="eastAsia" w:ascii="宋体" w:hAnsi="宋体" w:eastAsia="宋体" w:cs="宋体"/>
          <w:sz w:val="24"/>
        </w:rPr>
        <w:t>，导致的人身伤害（包括乙方员工、甲方师生及第三方）或财产损失</w:t>
      </w:r>
      <w:r>
        <w:rPr>
          <w:rFonts w:hint="eastAsia" w:ascii="宋体" w:hAnsi="宋体" w:eastAsia="宋体" w:cs="宋体"/>
          <w:sz w:val="24"/>
          <w:lang w:eastAsia="zh-CN"/>
        </w:rPr>
        <w:t>（</w:t>
      </w:r>
      <w:r>
        <w:rPr>
          <w:rFonts w:hint="eastAsia" w:ascii="宋体" w:hAnsi="宋体" w:eastAsia="宋体" w:cs="宋体"/>
          <w:sz w:val="24"/>
        </w:rPr>
        <w:t>消防系统</w:t>
      </w:r>
      <w:r>
        <w:rPr>
          <w:rFonts w:hint="eastAsia" w:ascii="宋体" w:hAnsi="宋体" w:eastAsia="宋体" w:cs="宋体"/>
          <w:sz w:val="24"/>
          <w:lang w:eastAsia="zh-CN"/>
        </w:rPr>
        <w:t>、</w:t>
      </w:r>
      <w:r>
        <w:rPr>
          <w:rFonts w:hint="eastAsia" w:ascii="宋体" w:hAnsi="宋体" w:eastAsia="宋体" w:cs="宋体"/>
          <w:sz w:val="24"/>
          <w:lang w:val="en-US" w:eastAsia="zh-CN"/>
        </w:rPr>
        <w:t>设备、校园环境等</w:t>
      </w:r>
      <w:r>
        <w:rPr>
          <w:rFonts w:hint="eastAsia" w:ascii="宋体" w:hAnsi="宋体" w:eastAsia="宋体" w:cs="宋体"/>
          <w:sz w:val="24"/>
          <w:lang w:eastAsia="zh-CN"/>
        </w:rPr>
        <w:t>）</w:t>
      </w:r>
      <w:r>
        <w:rPr>
          <w:rFonts w:hint="eastAsia" w:ascii="宋体" w:hAnsi="宋体" w:eastAsia="宋体" w:cs="宋体"/>
          <w:sz w:val="24"/>
        </w:rPr>
        <w:t>，乙方应承担全部法律责任及经济赔偿责任，并向甲方支付合同总额</w:t>
      </w:r>
      <w:r>
        <w:rPr>
          <w:rFonts w:hint="eastAsia" w:ascii="宋体" w:hAnsi="宋体" w:eastAsia="宋体" w:cs="宋体"/>
          <w:sz w:val="24"/>
          <w:lang w:eastAsia="zh-CN"/>
        </w:rPr>
        <w:t>【</w:t>
      </w:r>
      <w:r>
        <w:rPr>
          <w:rFonts w:hint="eastAsia" w:ascii="宋体" w:hAnsi="宋体" w:eastAsia="宋体" w:cs="宋体"/>
          <w:sz w:val="24"/>
          <w:lang w:val="en-US" w:eastAsia="zh-CN"/>
        </w:rPr>
        <w:t>30</w:t>
      </w:r>
      <w:r>
        <w:rPr>
          <w:rFonts w:hint="eastAsia" w:ascii="宋体" w:hAnsi="宋体" w:eastAsia="宋体" w:cs="宋体"/>
          <w:sz w:val="24"/>
          <w:lang w:eastAsia="zh-CN"/>
        </w:rPr>
        <w:t>】</w:t>
      </w:r>
      <w:r>
        <w:rPr>
          <w:rFonts w:hint="eastAsia" w:ascii="宋体" w:hAnsi="宋体" w:eastAsia="宋体" w:cs="宋体"/>
          <w:sz w:val="24"/>
        </w:rPr>
        <w:t>%的惩罚性违约金。</w:t>
      </w:r>
    </w:p>
    <w:p w14:paraId="0B38B515">
      <w:pPr>
        <w:snapToGrid w:val="0"/>
        <w:spacing w:beforeLines="0" w:afterLines="0" w:line="560" w:lineRule="exact"/>
        <w:ind w:firstLine="480" w:firstLineChars="200"/>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7.4</w:t>
      </w:r>
      <w:r>
        <w:rPr>
          <w:rFonts w:hint="eastAsia" w:ascii="宋体" w:hAnsi="宋体" w:eastAsia="宋体" w:cs="宋体"/>
          <w:sz w:val="24"/>
          <w:szCs w:val="24"/>
        </w:rPr>
        <w:t>乙方在对隐蔽工程进行</w:t>
      </w:r>
      <w:r>
        <w:rPr>
          <w:rFonts w:hint="eastAsia" w:ascii="宋体" w:hAnsi="宋体" w:eastAsia="宋体" w:cs="宋体"/>
          <w:sz w:val="24"/>
          <w:szCs w:val="24"/>
          <w:lang w:val="en-US" w:eastAsia="zh-CN"/>
        </w:rPr>
        <w:t>检测评估</w:t>
      </w:r>
      <w:r>
        <w:rPr>
          <w:rFonts w:hint="eastAsia" w:ascii="宋体" w:hAnsi="宋体" w:eastAsia="宋体" w:cs="宋体"/>
          <w:sz w:val="24"/>
          <w:szCs w:val="24"/>
        </w:rPr>
        <w:t>时，应尽量保护原设施</w:t>
      </w:r>
      <w:r>
        <w:rPr>
          <w:rFonts w:hint="eastAsia" w:ascii="宋体" w:hAnsi="宋体" w:eastAsia="宋体" w:cs="宋体"/>
          <w:sz w:val="24"/>
          <w:szCs w:val="24"/>
          <w:lang w:eastAsia="zh-CN"/>
        </w:rPr>
        <w:t>。</w:t>
      </w:r>
    </w:p>
    <w:p w14:paraId="407D155C">
      <w:pPr>
        <w:snapToGrid w:val="0"/>
        <w:spacing w:beforeLines="0" w:afterLines="0" w:line="56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7.5</w:t>
      </w:r>
      <w:r>
        <w:rPr>
          <w:rFonts w:hint="eastAsia" w:ascii="宋体" w:hAnsi="宋体" w:eastAsia="宋体" w:cs="宋体"/>
          <w:sz w:val="24"/>
          <w:szCs w:val="24"/>
        </w:rPr>
        <w:t>乙方人员持证上岗，并发放社保统筹。</w:t>
      </w:r>
    </w:p>
    <w:p w14:paraId="435075C2">
      <w:pPr>
        <w:snapToGrid w:val="0"/>
        <w:spacing w:beforeLines="0" w:afterLines="0" w:line="56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7.6</w:t>
      </w:r>
      <w:r>
        <w:rPr>
          <w:rFonts w:hint="eastAsia" w:ascii="宋体" w:hAnsi="宋体" w:eastAsia="宋体" w:cs="宋体"/>
          <w:sz w:val="24"/>
          <w:szCs w:val="24"/>
        </w:rPr>
        <w:t>乙方人员如有变动，应告知甲方，经甲方同意后，方可替换人员。乙方拟替换</w:t>
      </w:r>
      <w:r>
        <w:rPr>
          <w:rFonts w:hint="eastAsia" w:ascii="宋体" w:hAnsi="宋体" w:eastAsia="宋体" w:cs="宋体"/>
          <w:sz w:val="24"/>
          <w:szCs w:val="24"/>
          <w:lang w:val="en-US" w:eastAsia="zh-CN"/>
        </w:rPr>
        <w:t>服务</w:t>
      </w:r>
      <w:r>
        <w:rPr>
          <w:rFonts w:hint="eastAsia" w:ascii="宋体" w:hAnsi="宋体" w:eastAsia="宋体" w:cs="宋体"/>
          <w:sz w:val="24"/>
          <w:szCs w:val="24"/>
        </w:rPr>
        <w:t>人员，须提前</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w:t>
      </w:r>
      <w:r>
        <w:rPr>
          <w:rFonts w:hint="eastAsia" w:ascii="宋体" w:hAnsi="宋体" w:eastAsia="宋体" w:cs="宋体"/>
          <w:sz w:val="24"/>
          <w:szCs w:val="24"/>
        </w:rPr>
        <w:t>天书面申请，并提供新人员的简历、证书、社保证明等材料。新人员的资质和能力不得低于原人员，否则甲方有权拒绝。若乙方擅自更换，视为违约，每次扣除违约金</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500</w:t>
      </w:r>
      <w:r>
        <w:rPr>
          <w:rFonts w:hint="eastAsia" w:ascii="宋体" w:hAnsi="宋体" w:eastAsia="宋体" w:cs="宋体"/>
          <w:sz w:val="24"/>
          <w:szCs w:val="24"/>
          <w:lang w:eastAsia="zh-CN"/>
        </w:rPr>
        <w:t>】</w:t>
      </w:r>
      <w:r>
        <w:rPr>
          <w:rFonts w:hint="eastAsia" w:ascii="宋体" w:hAnsi="宋体" w:eastAsia="宋体" w:cs="宋体"/>
          <w:sz w:val="24"/>
          <w:szCs w:val="24"/>
        </w:rPr>
        <w:t>元；累计更换超过【</w:t>
      </w:r>
      <w:r>
        <w:rPr>
          <w:rFonts w:hint="eastAsia" w:ascii="宋体" w:hAnsi="宋体" w:eastAsia="宋体" w:cs="宋体"/>
          <w:sz w:val="24"/>
          <w:szCs w:val="24"/>
          <w:lang w:val="en-US" w:eastAsia="zh-CN"/>
        </w:rPr>
        <w:t>7</w:t>
      </w:r>
      <w:r>
        <w:rPr>
          <w:rFonts w:hint="eastAsia" w:ascii="宋体" w:hAnsi="宋体" w:eastAsia="宋体" w:cs="宋体"/>
          <w:sz w:val="24"/>
          <w:szCs w:val="24"/>
        </w:rPr>
        <w:t>】人次或导致项目停滞超过【</w:t>
      </w:r>
      <w:r>
        <w:rPr>
          <w:rFonts w:hint="eastAsia" w:ascii="宋体" w:hAnsi="宋体" w:eastAsia="宋体" w:cs="宋体"/>
          <w:sz w:val="24"/>
          <w:szCs w:val="24"/>
          <w:lang w:val="en-US" w:eastAsia="zh-CN"/>
        </w:rPr>
        <w:t>7</w:t>
      </w:r>
      <w:r>
        <w:rPr>
          <w:rFonts w:hint="eastAsia" w:ascii="宋体" w:hAnsi="宋体" w:eastAsia="宋体" w:cs="宋体"/>
          <w:sz w:val="24"/>
          <w:szCs w:val="24"/>
        </w:rPr>
        <w:t>】日的，甲方有权单方解除合同。</w:t>
      </w:r>
    </w:p>
    <w:p w14:paraId="17EF3BE8">
      <w:pPr>
        <w:snapToGrid w:val="0"/>
        <w:spacing w:beforeLines="0" w:afterLines="0" w:line="56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7.7</w:t>
      </w:r>
      <w:r>
        <w:rPr>
          <w:rFonts w:hint="eastAsia" w:ascii="宋体" w:hAnsi="宋体" w:eastAsia="宋体" w:cs="宋体"/>
          <w:sz w:val="24"/>
          <w:szCs w:val="24"/>
        </w:rPr>
        <w:t>乙方应按照合同约定的服务项目提供相应的服务，保证所招聘服务人员遵守、执行有关法规、规章和规范性文件。所聘用服务人员应身体健康、无重大疾病及传染病，思想品德端正，无犯罪记录，经甲方审核合格后方可上岗。</w:t>
      </w:r>
    </w:p>
    <w:p w14:paraId="76B81A3D">
      <w:pPr>
        <w:snapToGrid w:val="0"/>
        <w:spacing w:beforeLines="0" w:afterLines="0" w:line="56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7.8</w:t>
      </w:r>
      <w:r>
        <w:rPr>
          <w:rFonts w:hint="eastAsia" w:ascii="宋体" w:hAnsi="宋体" w:eastAsia="宋体" w:cs="宋体"/>
          <w:sz w:val="24"/>
          <w:szCs w:val="24"/>
        </w:rPr>
        <w:t>对甲方商业秘密（包括商业和技术、经营、管理、知识产权等）负有保密责任，如有泄密行为承担泄密责任。</w:t>
      </w:r>
    </w:p>
    <w:p w14:paraId="1B45538F">
      <w:pPr>
        <w:snapToGrid w:val="0"/>
        <w:spacing w:beforeLines="0" w:afterLines="0" w:line="56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7.9</w:t>
      </w:r>
      <w:r>
        <w:rPr>
          <w:rFonts w:hint="eastAsia" w:ascii="宋体" w:hAnsi="宋体" w:eastAsia="宋体" w:cs="宋体"/>
          <w:sz w:val="24"/>
          <w:szCs w:val="24"/>
        </w:rPr>
        <w:t>采购文件中声明的其他权利、义务。</w:t>
      </w:r>
    </w:p>
    <w:p w14:paraId="36ED62BD">
      <w:pPr>
        <w:snapToGrid w:val="0"/>
        <w:spacing w:beforeLines="0" w:afterLines="0" w:line="560" w:lineRule="exact"/>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7.10乙方在服务过程中产生的所有检测评估报告、现场影像资料等，其知识产权及所有权均归甲方所有。合同终止时，乙方须完整移交，不得留存、删除或用于其他商业用途。</w:t>
      </w:r>
    </w:p>
    <w:p w14:paraId="5CEFDEA2">
      <w:pPr>
        <w:snapToGrid w:val="0"/>
        <w:spacing w:beforeLines="0" w:afterLines="0" w:line="560" w:lineRule="exact"/>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7.11乙方在服务过程中获取的学校建筑图纸、消防系统数据、师生信息等均属甲方商业秘密。乙方不得留存、复制、泄露或用于其他商业用途。合同终止时，乙方须移交所有数据及文档，并签署销毁承诺书。乙方违反本条保密义务，泄露甲方任何商业秘密或敏感数据的，除承担法律责任外，还应向甲方支付合同总额【30】%的违约金；若违约金不足以弥补甲方损失的，乙方应予补足。</w:t>
      </w:r>
    </w:p>
    <w:p w14:paraId="3EE8FF59">
      <w:pPr>
        <w:snapToGrid w:val="0"/>
        <w:spacing w:line="560" w:lineRule="exact"/>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7.12乙方应按招标文件规定向甲方提供服务。</w:t>
      </w:r>
    </w:p>
    <w:p w14:paraId="1C78EB6B">
      <w:pPr>
        <w:snapToGrid w:val="0"/>
        <w:spacing w:line="560" w:lineRule="exact"/>
        <w:ind w:firstLine="480" w:firstLineChars="200"/>
        <w:jc w:val="left"/>
        <w:rPr>
          <w:rFonts w:hint="eastAsia" w:ascii="宋体" w:hAnsi="宋体" w:eastAsia="宋体" w:cs="宋体"/>
          <w:b w:val="0"/>
          <w:kern w:val="2"/>
          <w:sz w:val="24"/>
          <w:lang w:val="en-US" w:eastAsia="zh-CN"/>
        </w:rPr>
      </w:pPr>
      <w:r>
        <w:rPr>
          <w:rFonts w:hint="eastAsia" w:ascii="宋体" w:hAnsi="宋体" w:eastAsia="宋体" w:cs="宋体"/>
          <w:b w:val="0"/>
          <w:kern w:val="2"/>
          <w:sz w:val="24"/>
          <w:lang w:val="en-US" w:eastAsia="zh-CN"/>
        </w:rPr>
        <w:t>7.13 禁止无故单方解除合同及违约责任</w:t>
      </w:r>
    </w:p>
    <w:p w14:paraId="47CB410E">
      <w:pPr>
        <w:snapToGrid w:val="0"/>
        <w:spacing w:line="560" w:lineRule="exact"/>
        <w:ind w:firstLine="480" w:firstLineChars="200"/>
        <w:jc w:val="left"/>
        <w:rPr>
          <w:rFonts w:hint="eastAsia" w:ascii="宋体" w:hAnsi="宋体" w:eastAsia="宋体" w:cs="宋体"/>
          <w:b w:val="0"/>
          <w:kern w:val="2"/>
          <w:sz w:val="24"/>
          <w:lang w:val="en-US" w:eastAsia="zh-CN"/>
        </w:rPr>
      </w:pPr>
      <w:r>
        <w:rPr>
          <w:rFonts w:hint="eastAsia" w:ascii="宋体" w:hAnsi="宋体" w:eastAsia="宋体" w:cs="宋体"/>
          <w:b w:val="0"/>
          <w:kern w:val="2"/>
          <w:sz w:val="24"/>
          <w:lang w:val="en-US" w:eastAsia="zh-CN"/>
        </w:rPr>
        <w:t>（1）本合同生效后，乙方不得无正当理由单方面解除合同或停止提供服务。除本合同约定的不可抗力、甲方严重违约导致合同目的无法实现等法定或约定解除情形外，乙方单方提出解除合同、擅自撤场、停止检测评估工作或明确表示不再履行合同的，均视为根本违约。</w:t>
      </w:r>
    </w:p>
    <w:p w14:paraId="135F8AF2">
      <w:pPr>
        <w:snapToGrid w:val="0"/>
        <w:spacing w:line="560" w:lineRule="exact"/>
        <w:ind w:firstLine="480" w:firstLineChars="200"/>
        <w:jc w:val="left"/>
        <w:rPr>
          <w:rFonts w:hint="eastAsia" w:ascii="宋体" w:hAnsi="宋体" w:eastAsia="宋体" w:cs="宋体"/>
          <w:b w:val="0"/>
          <w:kern w:val="2"/>
          <w:sz w:val="24"/>
          <w:lang w:val="en-US" w:eastAsia="zh-CN"/>
        </w:rPr>
      </w:pPr>
      <w:r>
        <w:rPr>
          <w:rFonts w:hint="eastAsia" w:ascii="宋体" w:hAnsi="宋体" w:eastAsia="宋体" w:cs="宋体"/>
          <w:b w:val="0"/>
          <w:kern w:val="2"/>
          <w:sz w:val="24"/>
          <w:lang w:val="en-US" w:eastAsia="zh-CN"/>
        </w:rPr>
        <w:t>（2）若乙方发生上述根本违约行为，甲方有权采取以下一种或多种措施：</w:t>
      </w:r>
    </w:p>
    <w:p w14:paraId="089501F6">
      <w:pPr>
        <w:snapToGrid w:val="0"/>
        <w:spacing w:line="560" w:lineRule="exact"/>
        <w:ind w:firstLine="480" w:firstLineChars="200"/>
        <w:jc w:val="left"/>
        <w:rPr>
          <w:rFonts w:hint="eastAsia" w:ascii="宋体" w:hAnsi="宋体" w:eastAsia="宋体" w:cs="宋体"/>
          <w:b w:val="0"/>
          <w:kern w:val="2"/>
          <w:sz w:val="24"/>
          <w:lang w:val="en-US" w:eastAsia="zh-CN"/>
        </w:rPr>
      </w:pPr>
      <w:r>
        <w:rPr>
          <w:rFonts w:hint="eastAsia" w:ascii="宋体" w:hAnsi="宋体" w:eastAsia="宋体" w:cs="宋体"/>
          <w:b w:val="0"/>
          <w:kern w:val="2"/>
          <w:sz w:val="24"/>
          <w:lang w:val="en-US" w:eastAsia="zh-CN"/>
        </w:rPr>
        <w:t>①要求乙方立即支付相当于合同总金额【30】%的违约金；</w:t>
      </w:r>
    </w:p>
    <w:p w14:paraId="7E7CA9D5">
      <w:pPr>
        <w:snapToGrid w:val="0"/>
        <w:spacing w:line="560" w:lineRule="exact"/>
        <w:ind w:firstLine="480" w:firstLineChars="200"/>
        <w:jc w:val="left"/>
        <w:rPr>
          <w:rFonts w:hint="eastAsia" w:ascii="宋体" w:hAnsi="宋体" w:eastAsia="宋体" w:cs="宋体"/>
          <w:b w:val="0"/>
          <w:kern w:val="2"/>
          <w:sz w:val="24"/>
          <w:lang w:val="en-US" w:eastAsia="zh-CN"/>
        </w:rPr>
      </w:pPr>
      <w:r>
        <w:rPr>
          <w:rFonts w:hint="eastAsia" w:ascii="宋体" w:hAnsi="宋体" w:eastAsia="宋体" w:cs="宋体"/>
          <w:b w:val="0"/>
          <w:kern w:val="2"/>
          <w:sz w:val="24"/>
          <w:lang w:val="en-US" w:eastAsia="zh-CN"/>
        </w:rPr>
        <w:t>②甲方有权另行委托第三方完成剩余工作，由此产生的全部费用（包括但不限于第三方服务费、差价、紧急处置费等）均由乙方承担；</w:t>
      </w:r>
    </w:p>
    <w:p w14:paraId="78D81A8F">
      <w:pPr>
        <w:snapToGrid w:val="0"/>
        <w:spacing w:line="560" w:lineRule="exact"/>
        <w:ind w:firstLine="480" w:firstLineChars="200"/>
        <w:jc w:val="left"/>
        <w:rPr>
          <w:rFonts w:hint="eastAsia" w:ascii="宋体" w:hAnsi="宋体" w:eastAsia="宋体" w:cs="宋体"/>
          <w:b w:val="0"/>
          <w:kern w:val="2"/>
          <w:sz w:val="24"/>
          <w:lang w:val="en-US" w:eastAsia="zh-CN"/>
        </w:rPr>
      </w:pPr>
      <w:r>
        <w:rPr>
          <w:rFonts w:hint="eastAsia" w:ascii="宋体" w:hAnsi="宋体" w:eastAsia="宋体" w:cs="宋体"/>
          <w:b w:val="0"/>
          <w:kern w:val="2"/>
          <w:sz w:val="24"/>
          <w:lang w:val="en-US" w:eastAsia="zh-CN"/>
        </w:rPr>
        <w:t>③乙方应赔偿因此给甲方造成的一切损失，包括但不限于甲方重新招标的费用、律师费、保全保险费、鉴定费、因消防隐患未及时排查导致的安全事故损失等。</w:t>
      </w:r>
    </w:p>
    <w:p w14:paraId="0F6DD0F1">
      <w:pPr>
        <w:snapToGrid w:val="0"/>
        <w:spacing w:line="560" w:lineRule="exact"/>
        <w:ind w:firstLine="480" w:firstLineChars="200"/>
        <w:jc w:val="left"/>
        <w:rPr>
          <w:rFonts w:hint="eastAsia" w:ascii="宋体" w:hAnsi="宋体" w:eastAsia="宋体" w:cs="宋体"/>
          <w:b w:val="0"/>
          <w:kern w:val="2"/>
          <w:sz w:val="24"/>
          <w:lang w:val="en-US" w:eastAsia="zh-CN"/>
        </w:rPr>
      </w:pPr>
      <w:r>
        <w:rPr>
          <w:rFonts w:hint="eastAsia" w:ascii="宋体" w:hAnsi="宋体" w:eastAsia="宋体" w:cs="宋体"/>
          <w:b w:val="0"/>
          <w:kern w:val="2"/>
          <w:sz w:val="24"/>
          <w:lang w:val="en-US" w:eastAsia="zh-CN"/>
        </w:rPr>
        <w:t>（3）若乙方未按合同约定时间进场开展检测，经甲方催告后【7】日内仍未进场的，视为乙方以行为表明不履行主要债务，甲方有权直接适用本条第（2）款之规定解除合同并追究违约责任。</w:t>
      </w:r>
    </w:p>
    <w:p w14:paraId="742459A2">
      <w:pPr>
        <w:numPr>
          <w:ilvl w:val="0"/>
          <w:numId w:val="11"/>
        </w:numPr>
        <w:snapToGrid w:val="0"/>
        <w:spacing w:beforeLines="0" w:afterLines="0" w:line="560" w:lineRule="exact"/>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争议解决</w:t>
      </w:r>
    </w:p>
    <w:p w14:paraId="74A49A48">
      <w:pPr>
        <w:numPr>
          <w:ilvl w:val="-1"/>
          <w:numId w:val="0"/>
        </w:numPr>
        <w:snapToGrid w:val="0"/>
        <w:spacing w:beforeLines="0" w:afterLines="0" w:line="560" w:lineRule="exact"/>
        <w:ind w:firstLine="480" w:firstLineChars="20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8.1</w:t>
      </w:r>
      <w:r>
        <w:rPr>
          <w:rFonts w:hint="default" w:ascii="宋体" w:hAnsi="宋体" w:eastAsia="宋体" w:cs="宋体"/>
          <w:sz w:val="24"/>
          <w:szCs w:val="24"/>
          <w:lang w:val="en-US" w:eastAsia="zh-CN"/>
        </w:rPr>
        <w:t>本合同履行过程中发生争议，双方协商解决；协商不成的，向甲方所在地人民法院提起诉讼。</w:t>
      </w:r>
    </w:p>
    <w:p w14:paraId="52C2A012">
      <w:pPr>
        <w:snapToGrid w:val="0"/>
        <w:spacing w:beforeLines="0" w:afterLines="0" w:line="560" w:lineRule="exact"/>
        <w:ind w:firstLine="482" w:firstLineChars="200"/>
        <w:jc w:val="left"/>
        <w:outlineLvl w:val="2"/>
        <w:rPr>
          <w:rFonts w:hint="eastAsia" w:ascii="宋体" w:hAnsi="宋体" w:eastAsia="宋体" w:cs="宋体"/>
          <w:b/>
          <w:bCs/>
          <w:sz w:val="24"/>
          <w:szCs w:val="24"/>
        </w:rPr>
      </w:pPr>
      <w:r>
        <w:rPr>
          <w:rFonts w:hint="eastAsia" w:ascii="宋体" w:hAnsi="宋体" w:eastAsia="宋体" w:cs="宋体"/>
          <w:b/>
          <w:bCs/>
          <w:sz w:val="24"/>
          <w:szCs w:val="24"/>
          <w:lang w:val="en-US" w:eastAsia="zh-CN"/>
        </w:rPr>
        <w:t>九、</w:t>
      </w:r>
      <w:r>
        <w:rPr>
          <w:rFonts w:hint="eastAsia" w:ascii="宋体" w:hAnsi="宋体" w:eastAsia="宋体" w:cs="宋体"/>
          <w:b/>
          <w:bCs/>
          <w:sz w:val="24"/>
          <w:szCs w:val="24"/>
        </w:rPr>
        <w:t>合同生效及其它</w:t>
      </w:r>
    </w:p>
    <w:p w14:paraId="20A6E281">
      <w:pPr>
        <w:snapToGrid w:val="0"/>
        <w:spacing w:beforeLines="0" w:afterLines="0" w:line="56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9.1</w:t>
      </w:r>
      <w:r>
        <w:rPr>
          <w:rFonts w:hint="eastAsia" w:ascii="宋体" w:hAnsi="宋体" w:eastAsia="宋体" w:cs="宋体"/>
          <w:sz w:val="24"/>
          <w:szCs w:val="24"/>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0532121B">
      <w:pPr>
        <w:numPr>
          <w:ilvl w:val="0"/>
          <w:numId w:val="12"/>
        </w:numPr>
        <w:snapToGrid w:val="0"/>
        <w:spacing w:beforeLines="0" w:afterLines="0" w:line="560" w:lineRule="exact"/>
        <w:jc w:val="left"/>
        <w:rPr>
          <w:rFonts w:hint="eastAsia" w:ascii="宋体" w:hAnsi="宋体" w:eastAsia="宋体" w:cs="宋体"/>
          <w:sz w:val="24"/>
          <w:szCs w:val="24"/>
        </w:rPr>
      </w:pPr>
      <w:r>
        <w:rPr>
          <w:rFonts w:hint="eastAsia" w:ascii="宋体" w:hAnsi="宋体" w:eastAsia="宋体" w:cs="宋体"/>
          <w:sz w:val="24"/>
          <w:szCs w:val="24"/>
        </w:rPr>
        <w:t>本合同及其附件、补充合同、变更协议；</w:t>
      </w:r>
    </w:p>
    <w:p w14:paraId="64A2423A">
      <w:pPr>
        <w:numPr>
          <w:ilvl w:val="0"/>
          <w:numId w:val="12"/>
        </w:numPr>
        <w:snapToGrid w:val="0"/>
        <w:spacing w:beforeLines="0" w:afterLines="0" w:line="560" w:lineRule="exact"/>
        <w:jc w:val="left"/>
        <w:rPr>
          <w:rFonts w:hint="eastAsia" w:ascii="宋体" w:hAnsi="宋体" w:eastAsia="宋体" w:cs="宋体"/>
          <w:sz w:val="24"/>
          <w:szCs w:val="24"/>
        </w:rPr>
      </w:pPr>
      <w:r>
        <w:rPr>
          <w:rFonts w:hint="eastAsia" w:ascii="宋体" w:hAnsi="宋体" w:eastAsia="宋体" w:cs="宋体"/>
          <w:sz w:val="24"/>
          <w:szCs w:val="24"/>
        </w:rPr>
        <w:t>中标通知书；</w:t>
      </w:r>
    </w:p>
    <w:p w14:paraId="6F2F4A22">
      <w:pPr>
        <w:numPr>
          <w:ilvl w:val="0"/>
          <w:numId w:val="12"/>
        </w:numPr>
        <w:snapToGrid w:val="0"/>
        <w:spacing w:beforeLines="0" w:afterLines="0" w:line="560" w:lineRule="exact"/>
        <w:jc w:val="left"/>
        <w:rPr>
          <w:rFonts w:hint="eastAsia" w:ascii="宋体" w:hAnsi="宋体" w:eastAsia="宋体" w:cs="宋体"/>
          <w:sz w:val="24"/>
          <w:szCs w:val="24"/>
        </w:rPr>
      </w:pPr>
      <w:r>
        <w:rPr>
          <w:rFonts w:hint="eastAsia" w:ascii="宋体" w:hAnsi="宋体" w:eastAsia="宋体" w:cs="宋体"/>
          <w:sz w:val="24"/>
          <w:szCs w:val="24"/>
          <w:lang w:val="en-US" w:eastAsia="zh-CN"/>
        </w:rPr>
        <w:t>投标</w:t>
      </w:r>
      <w:r>
        <w:rPr>
          <w:rFonts w:hint="eastAsia" w:ascii="宋体" w:hAnsi="宋体" w:eastAsia="宋体" w:cs="宋体"/>
          <w:sz w:val="24"/>
          <w:szCs w:val="24"/>
        </w:rPr>
        <w:t>文件（含澄清或者说明文件）；</w:t>
      </w:r>
    </w:p>
    <w:p w14:paraId="43F821B4">
      <w:pPr>
        <w:numPr>
          <w:ilvl w:val="0"/>
          <w:numId w:val="12"/>
        </w:numPr>
        <w:snapToGrid w:val="0"/>
        <w:spacing w:beforeLines="0" w:afterLines="0" w:line="560" w:lineRule="exact"/>
        <w:jc w:val="left"/>
        <w:rPr>
          <w:rFonts w:hint="eastAsia" w:ascii="宋体" w:hAnsi="宋体" w:eastAsia="宋体" w:cs="宋体"/>
          <w:sz w:val="24"/>
          <w:szCs w:val="24"/>
        </w:rPr>
      </w:pPr>
      <w:r>
        <w:rPr>
          <w:rFonts w:hint="eastAsia" w:ascii="宋体" w:hAnsi="宋体" w:eastAsia="宋体" w:cs="宋体"/>
          <w:sz w:val="24"/>
          <w:szCs w:val="24"/>
          <w:lang w:val="en-US" w:eastAsia="zh-CN"/>
        </w:rPr>
        <w:t>招标</w:t>
      </w:r>
      <w:r>
        <w:rPr>
          <w:rFonts w:hint="eastAsia" w:ascii="宋体" w:hAnsi="宋体" w:eastAsia="宋体" w:cs="宋体"/>
          <w:sz w:val="24"/>
          <w:szCs w:val="24"/>
        </w:rPr>
        <w:t>文件（含澄清或者修改文件）；</w:t>
      </w:r>
    </w:p>
    <w:p w14:paraId="0F6BF19E">
      <w:pPr>
        <w:numPr>
          <w:ilvl w:val="0"/>
          <w:numId w:val="12"/>
        </w:numPr>
        <w:snapToGrid w:val="0"/>
        <w:spacing w:beforeLines="0" w:afterLines="0" w:line="560" w:lineRule="exact"/>
        <w:jc w:val="left"/>
        <w:rPr>
          <w:rFonts w:hint="eastAsia" w:ascii="宋体" w:hAnsi="宋体" w:eastAsia="宋体" w:cs="宋体"/>
          <w:sz w:val="24"/>
          <w:szCs w:val="24"/>
        </w:rPr>
      </w:pPr>
      <w:r>
        <w:rPr>
          <w:rFonts w:hint="eastAsia" w:ascii="宋体" w:hAnsi="宋体" w:eastAsia="宋体" w:cs="宋体"/>
          <w:sz w:val="24"/>
          <w:szCs w:val="24"/>
        </w:rPr>
        <w:t>其他相关采购文件。</w:t>
      </w:r>
    </w:p>
    <w:p w14:paraId="71F2F508">
      <w:pPr>
        <w:snapToGrid w:val="0"/>
        <w:spacing w:beforeLines="0" w:afterLines="0" w:line="56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8.2</w:t>
      </w:r>
      <w:r>
        <w:rPr>
          <w:rFonts w:hint="eastAsia" w:ascii="宋体" w:hAnsi="宋体" w:eastAsia="宋体" w:cs="宋体"/>
          <w:sz w:val="24"/>
          <w:szCs w:val="24"/>
        </w:rPr>
        <w:t>合同经双方法定代表人或授权代理人签字并加盖单位公章后生效；</w:t>
      </w:r>
    </w:p>
    <w:p w14:paraId="1B99A1CD">
      <w:pPr>
        <w:snapToGrid w:val="0"/>
        <w:spacing w:beforeLines="0" w:afterLines="0" w:line="56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8.3</w:t>
      </w:r>
      <w:r>
        <w:rPr>
          <w:rFonts w:hint="eastAsia" w:ascii="宋体" w:hAnsi="宋体" w:eastAsia="宋体" w:cs="宋体"/>
          <w:sz w:val="24"/>
          <w:szCs w:val="24"/>
        </w:rPr>
        <w:t>本合同未尽事宜，遵照《中华人民共和国民法典》有关条文执行；</w:t>
      </w:r>
    </w:p>
    <w:p w14:paraId="0D3EB446">
      <w:pPr>
        <w:snapToGrid w:val="0"/>
        <w:spacing w:beforeLines="0" w:afterLines="0" w:line="560" w:lineRule="exact"/>
        <w:ind w:firstLine="480" w:firstLineChars="200"/>
        <w:jc w:val="left"/>
        <w:outlineLvl w:val="9"/>
        <w:rPr>
          <w:rFonts w:hint="eastAsia" w:ascii="宋体" w:hAnsi="宋体" w:eastAsia="宋体" w:cs="宋体"/>
          <w:sz w:val="24"/>
          <w:szCs w:val="24"/>
          <w:lang w:eastAsia="zh-CN"/>
        </w:rPr>
        <w:sectPr>
          <w:footerReference r:id="rId6" w:type="default"/>
          <w:pgSz w:w="11906" w:h="16838"/>
          <w:pgMar w:top="1440" w:right="1633" w:bottom="1440" w:left="1633" w:header="851" w:footer="992" w:gutter="0"/>
          <w:lnNumType w:countBy="0" w:distance="360"/>
          <w:pgNumType w:start="5"/>
          <w:cols w:space="720" w:num="1"/>
          <w:docGrid w:type="lines" w:linePitch="312" w:charSpace="0"/>
        </w:sectPr>
      </w:pPr>
      <w:r>
        <w:rPr>
          <w:rFonts w:hint="eastAsia" w:ascii="宋体" w:hAnsi="宋体" w:eastAsia="宋体" w:cs="宋体"/>
          <w:sz w:val="24"/>
          <w:szCs w:val="24"/>
          <w:lang w:val="en-US" w:eastAsia="zh-CN"/>
        </w:rPr>
        <w:t>8.4</w:t>
      </w:r>
      <w:r>
        <w:rPr>
          <w:rFonts w:hint="eastAsia" w:ascii="宋体" w:hAnsi="宋体" w:eastAsia="宋体" w:cs="宋体"/>
          <w:sz w:val="24"/>
          <w:szCs w:val="24"/>
        </w:rPr>
        <w:t>本合同一式</w:t>
      </w:r>
      <w:r>
        <w:rPr>
          <w:rFonts w:hint="eastAsia" w:ascii="宋体" w:hAnsi="宋体" w:eastAsia="宋体" w:cs="宋体"/>
          <w:sz w:val="24"/>
          <w:szCs w:val="24"/>
          <w:lang w:val="en-US" w:eastAsia="zh-CN"/>
        </w:rPr>
        <w:t>肆</w:t>
      </w:r>
      <w:r>
        <w:rPr>
          <w:rFonts w:hint="eastAsia" w:ascii="宋体" w:hAnsi="宋体" w:eastAsia="宋体" w:cs="宋体"/>
          <w:sz w:val="24"/>
          <w:szCs w:val="24"/>
        </w:rPr>
        <w:t>份，具有同等法律效力，其中甲方执贰份，乙方执贰份</w:t>
      </w:r>
      <w:r>
        <w:rPr>
          <w:rFonts w:hint="eastAsia" w:ascii="宋体" w:hAnsi="宋体" w:eastAsia="宋体" w:cs="宋体"/>
          <w:sz w:val="24"/>
          <w:szCs w:val="24"/>
          <w:lang w:eastAsia="zh-CN"/>
        </w:rPr>
        <w:t>。</w:t>
      </w:r>
    </w:p>
    <w:p w14:paraId="51B3B1A5">
      <w:pPr>
        <w:spacing w:beforeLines="0" w:afterLines="0" w:line="360" w:lineRule="auto"/>
        <w:ind w:firstLine="480" w:firstLineChars="200"/>
        <w:rPr>
          <w:rFonts w:hint="eastAsia" w:ascii="宋体" w:hAnsi="宋体" w:eastAsia="宋体" w:cs="宋体"/>
          <w:sz w:val="24"/>
          <w:szCs w:val="24"/>
        </w:rPr>
      </w:pPr>
    </w:p>
    <w:p w14:paraId="0CFDDBBE">
      <w:pPr>
        <w:spacing w:beforeLines="0" w:afterLines="0" w:line="360" w:lineRule="auto"/>
        <w:ind w:firstLine="480" w:firstLineChars="200"/>
        <w:rPr>
          <w:rFonts w:hint="eastAsia" w:ascii="宋体" w:hAnsi="宋体" w:eastAsia="宋体" w:cs="宋体"/>
          <w:sz w:val="24"/>
          <w:szCs w:val="24"/>
        </w:rPr>
        <w:sectPr>
          <w:type w:val="continuous"/>
          <w:pgSz w:w="11906" w:h="16838"/>
          <w:pgMar w:top="1440" w:right="1633" w:bottom="1440" w:left="1633" w:header="851" w:footer="992" w:gutter="0"/>
          <w:lnNumType w:countBy="0" w:distance="360"/>
          <w:pgNumType w:start="5"/>
          <w:cols w:space="720" w:num="1"/>
          <w:docGrid w:type="lines" w:linePitch="312" w:charSpace="0"/>
        </w:sectPr>
      </w:pPr>
    </w:p>
    <w:p w14:paraId="283D29E1">
      <w:pPr>
        <w:spacing w:beforeLines="0" w:afterLines="0" w:line="480" w:lineRule="auto"/>
        <w:rPr>
          <w:rFonts w:hint="eastAsia" w:ascii="宋体" w:hAnsi="宋体" w:eastAsia="宋体" w:cs="宋体"/>
          <w:sz w:val="24"/>
          <w:szCs w:val="24"/>
        </w:rPr>
      </w:pPr>
    </w:p>
    <w:p w14:paraId="047664D0">
      <w:pPr>
        <w:spacing w:beforeLines="0" w:afterLines="0" w:line="480" w:lineRule="auto"/>
        <w:rPr>
          <w:rFonts w:hint="default" w:ascii="宋体" w:hAnsi="宋体" w:eastAsia="宋体" w:cs="宋体"/>
          <w:sz w:val="24"/>
          <w:szCs w:val="24"/>
          <w:u w:val="single"/>
          <w:lang w:val="en-US" w:eastAsia="zh-CN"/>
        </w:rPr>
      </w:pPr>
      <w:r>
        <w:rPr>
          <w:rFonts w:hint="eastAsia" w:ascii="宋体" w:hAnsi="宋体" w:eastAsia="宋体" w:cs="宋体"/>
          <w:sz w:val="24"/>
          <w:szCs w:val="24"/>
        </w:rPr>
        <w:t>甲   方（盖章)：</w:t>
      </w:r>
      <w:r>
        <w:rPr>
          <w:rFonts w:hint="eastAsia" w:ascii="宋体" w:hAnsi="宋体" w:eastAsia="宋体" w:cs="宋体"/>
          <w:sz w:val="24"/>
          <w:szCs w:val="24"/>
          <w:u w:val="single"/>
          <w:lang w:val="en-US" w:eastAsia="zh-CN"/>
        </w:rPr>
        <w:t xml:space="preserve">           </w:t>
      </w:r>
    </w:p>
    <w:p w14:paraId="5542BAFC">
      <w:pPr>
        <w:spacing w:beforeLines="0" w:afterLines="0" w:line="480" w:lineRule="auto"/>
        <w:rPr>
          <w:rFonts w:hint="eastAsia" w:ascii="宋体" w:hAnsi="宋体" w:eastAsia="宋体" w:cs="宋体"/>
          <w:sz w:val="24"/>
          <w:szCs w:val="24"/>
        </w:rPr>
      </w:pPr>
      <w:r>
        <w:rPr>
          <w:rFonts w:hint="eastAsia" w:ascii="宋体" w:hAnsi="宋体" w:eastAsia="宋体" w:cs="宋体"/>
          <w:sz w:val="24"/>
          <w:szCs w:val="24"/>
        </w:rPr>
        <w:t>地   址：</w:t>
      </w:r>
      <w:r>
        <w:rPr>
          <w:rFonts w:hint="eastAsia" w:ascii="宋体" w:hAnsi="宋体" w:cs="宋体"/>
          <w:sz w:val="24"/>
          <w:szCs w:val="24"/>
          <w:u w:val="single"/>
        </w:rPr>
        <w:t xml:space="preserve">           </w:t>
      </w:r>
    </w:p>
    <w:p w14:paraId="2933D5CD">
      <w:pPr>
        <w:spacing w:beforeLines="0" w:afterLines="0" w:line="480" w:lineRule="auto"/>
        <w:rPr>
          <w:rFonts w:hint="eastAsia" w:ascii="宋体" w:hAnsi="宋体" w:eastAsia="宋体" w:cs="宋体"/>
          <w:sz w:val="24"/>
          <w:szCs w:val="24"/>
        </w:rPr>
      </w:pPr>
      <w:r>
        <w:rPr>
          <w:rFonts w:hint="eastAsia" w:ascii="宋体" w:hAnsi="宋体" w:eastAsia="宋体" w:cs="宋体"/>
          <w:sz w:val="24"/>
          <w:szCs w:val="24"/>
        </w:rPr>
        <w:t>法定（或授权）代表人：</w:t>
      </w:r>
      <w:r>
        <w:rPr>
          <w:rFonts w:hint="eastAsia" w:ascii="宋体" w:hAnsi="宋体" w:cs="宋体"/>
          <w:sz w:val="24"/>
          <w:szCs w:val="24"/>
          <w:u w:val="single"/>
        </w:rPr>
        <w:t xml:space="preserve">           </w:t>
      </w:r>
    </w:p>
    <w:p w14:paraId="74E15369">
      <w:pPr>
        <w:spacing w:beforeLines="0" w:afterLines="0" w:line="480" w:lineRule="auto"/>
        <w:rPr>
          <w:rFonts w:hint="eastAsia" w:ascii="宋体" w:hAnsi="宋体" w:cs="宋体"/>
          <w:sz w:val="24"/>
          <w:szCs w:val="24"/>
          <w:u w:val="single"/>
        </w:rPr>
      </w:pPr>
      <w:r>
        <w:rPr>
          <w:rFonts w:hint="eastAsia" w:ascii="宋体" w:hAnsi="宋体" w:eastAsia="宋体" w:cs="宋体"/>
          <w:sz w:val="24"/>
          <w:szCs w:val="24"/>
        </w:rPr>
        <w:t>开户银行：</w:t>
      </w:r>
      <w:r>
        <w:rPr>
          <w:rFonts w:hint="eastAsia" w:ascii="宋体" w:hAnsi="宋体" w:cs="宋体"/>
          <w:sz w:val="24"/>
          <w:szCs w:val="24"/>
          <w:u w:val="single"/>
        </w:rPr>
        <w:t xml:space="preserve">           </w:t>
      </w:r>
    </w:p>
    <w:p w14:paraId="1152DF88">
      <w:pPr>
        <w:spacing w:beforeLines="0" w:afterLines="0" w:line="480" w:lineRule="auto"/>
        <w:rPr>
          <w:rFonts w:hint="eastAsia" w:ascii="宋体" w:hAnsi="宋体" w:eastAsia="宋体" w:cs="宋体"/>
          <w:sz w:val="24"/>
          <w:szCs w:val="24"/>
        </w:rPr>
      </w:pPr>
      <w:r>
        <w:rPr>
          <w:rFonts w:hint="eastAsia" w:ascii="宋体" w:hAnsi="宋体" w:eastAsia="宋体" w:cs="宋体"/>
          <w:sz w:val="24"/>
          <w:szCs w:val="24"/>
        </w:rPr>
        <w:t>银行账号：</w:t>
      </w:r>
      <w:r>
        <w:rPr>
          <w:rFonts w:hint="eastAsia" w:ascii="宋体" w:hAnsi="宋体" w:cs="宋体"/>
          <w:sz w:val="24"/>
          <w:szCs w:val="24"/>
          <w:u w:val="single"/>
        </w:rPr>
        <w:t xml:space="preserve">           </w:t>
      </w:r>
    </w:p>
    <w:p w14:paraId="3EA35C3D">
      <w:pPr>
        <w:spacing w:beforeLines="0" w:afterLines="0" w:line="480" w:lineRule="auto"/>
        <w:rPr>
          <w:rFonts w:hint="eastAsia" w:ascii="宋体" w:hAnsi="宋体" w:eastAsia="宋体" w:cs="宋体"/>
          <w:sz w:val="24"/>
          <w:szCs w:val="24"/>
        </w:rPr>
      </w:pPr>
      <w:r>
        <w:rPr>
          <w:rFonts w:hint="eastAsia" w:ascii="宋体" w:hAnsi="宋体" w:eastAsia="宋体" w:cs="宋体"/>
          <w:sz w:val="24"/>
          <w:szCs w:val="24"/>
        </w:rPr>
        <w:t>统一社会信用代码：</w:t>
      </w:r>
      <w:r>
        <w:rPr>
          <w:rFonts w:hint="eastAsia" w:ascii="宋体" w:hAnsi="宋体" w:cs="宋体"/>
          <w:sz w:val="24"/>
          <w:szCs w:val="24"/>
          <w:u w:val="single"/>
        </w:rPr>
        <w:t xml:space="preserve">           </w:t>
      </w:r>
    </w:p>
    <w:p w14:paraId="2DCD99A4">
      <w:pPr>
        <w:pStyle w:val="9"/>
        <w:spacing w:beforeLines="0" w:afterLines="0" w:line="480" w:lineRule="auto"/>
        <w:ind w:left="0" w:leftChars="0"/>
        <w:rPr>
          <w:rFonts w:hint="eastAsia" w:ascii="宋体" w:hAnsi="宋体" w:eastAsia="宋体" w:cs="宋体"/>
          <w:sz w:val="24"/>
          <w:szCs w:val="24"/>
        </w:rPr>
      </w:pPr>
      <w:r>
        <w:rPr>
          <w:rFonts w:hint="eastAsia" w:ascii="宋体" w:hAnsi="宋体" w:eastAsia="宋体" w:cs="宋体"/>
          <w:sz w:val="24"/>
          <w:szCs w:val="24"/>
        </w:rPr>
        <w:t>签字日期：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056356D0">
      <w:pPr>
        <w:spacing w:beforeLines="0" w:afterLines="0" w:line="480" w:lineRule="auto"/>
        <w:rPr>
          <w:rFonts w:hint="eastAsia" w:ascii="宋体" w:hAnsi="宋体" w:eastAsia="宋体" w:cs="宋体"/>
          <w:sz w:val="24"/>
          <w:szCs w:val="24"/>
        </w:rPr>
      </w:pPr>
    </w:p>
    <w:p w14:paraId="63BAFF74">
      <w:pPr>
        <w:rPr>
          <w:rFonts w:hint="eastAsia" w:ascii="宋体" w:hAnsi="宋体" w:eastAsia="宋体" w:cs="宋体"/>
          <w:sz w:val="24"/>
          <w:szCs w:val="24"/>
          <w:lang w:val="en-US" w:eastAsia="zh-CN"/>
        </w:rPr>
      </w:pPr>
    </w:p>
    <w:p w14:paraId="0A57B68E">
      <w:pPr>
        <w:outlineLvl w:val="9"/>
        <w:rPr>
          <w:rFonts w:hint="eastAsia"/>
          <w:lang w:val="en-US" w:eastAsia="zh-CN"/>
        </w:rPr>
      </w:pPr>
    </w:p>
    <w:p w14:paraId="36976ACE">
      <w:pPr>
        <w:spacing w:beforeLines="0" w:afterLines="0" w:line="480" w:lineRule="auto"/>
        <w:rPr>
          <w:rFonts w:hint="eastAsia" w:ascii="宋体" w:hAnsi="宋体" w:eastAsia="宋体" w:cs="宋体"/>
          <w:sz w:val="24"/>
          <w:szCs w:val="24"/>
        </w:rPr>
      </w:pPr>
      <w:r>
        <w:rPr>
          <w:rFonts w:hint="eastAsia" w:ascii="宋体" w:hAnsi="宋体" w:eastAsia="宋体" w:cs="宋体"/>
          <w:sz w:val="24"/>
          <w:szCs w:val="24"/>
        </w:rPr>
        <w:t xml:space="preserve">乙   方（盖章)：           </w:t>
      </w:r>
    </w:p>
    <w:p w14:paraId="618F2E5C">
      <w:pPr>
        <w:spacing w:line="480" w:lineRule="auto"/>
        <w:rPr>
          <w:rFonts w:hint="eastAsia" w:ascii="宋体" w:hAnsi="宋体" w:cs="宋体"/>
          <w:sz w:val="24"/>
          <w:szCs w:val="24"/>
        </w:rPr>
      </w:pPr>
      <w:r>
        <w:rPr>
          <w:rFonts w:hint="eastAsia" w:ascii="宋体" w:hAnsi="宋体" w:cs="宋体"/>
          <w:sz w:val="24"/>
          <w:szCs w:val="24"/>
        </w:rPr>
        <w:t>地   址：</w:t>
      </w:r>
      <w:r>
        <w:rPr>
          <w:rFonts w:hint="eastAsia" w:ascii="宋体" w:hAnsi="宋体" w:cs="宋体"/>
          <w:sz w:val="24"/>
          <w:szCs w:val="24"/>
          <w:u w:val="single"/>
        </w:rPr>
        <w:t xml:space="preserve">           </w:t>
      </w:r>
    </w:p>
    <w:p w14:paraId="197BA697">
      <w:pPr>
        <w:spacing w:line="480" w:lineRule="auto"/>
        <w:rPr>
          <w:rFonts w:hint="eastAsia" w:ascii="宋体" w:hAnsi="宋体" w:cs="宋体"/>
          <w:sz w:val="24"/>
          <w:szCs w:val="24"/>
        </w:rPr>
      </w:pPr>
      <w:r>
        <w:rPr>
          <w:rFonts w:hint="eastAsia" w:ascii="宋体" w:hAnsi="宋体" w:cs="宋体"/>
          <w:sz w:val="24"/>
          <w:szCs w:val="24"/>
        </w:rPr>
        <w:t>法定（或授权）代表人：</w:t>
      </w:r>
      <w:r>
        <w:rPr>
          <w:rFonts w:hint="eastAsia" w:ascii="宋体" w:hAnsi="宋体" w:cs="宋体"/>
          <w:sz w:val="24"/>
          <w:szCs w:val="24"/>
          <w:u w:val="single"/>
        </w:rPr>
        <w:t xml:space="preserve">           </w:t>
      </w:r>
    </w:p>
    <w:p w14:paraId="5034BAB2">
      <w:pPr>
        <w:spacing w:beforeLines="0" w:afterLines="0" w:line="480" w:lineRule="auto"/>
        <w:rPr>
          <w:rFonts w:hint="eastAsia" w:ascii="宋体" w:hAnsi="宋体" w:cs="宋体"/>
          <w:sz w:val="24"/>
          <w:szCs w:val="24"/>
          <w:u w:val="single"/>
        </w:rPr>
      </w:pPr>
      <w:r>
        <w:rPr>
          <w:rFonts w:hint="eastAsia" w:ascii="宋体" w:hAnsi="宋体" w:cs="宋体"/>
          <w:sz w:val="24"/>
          <w:szCs w:val="24"/>
        </w:rPr>
        <w:t>开户银行：</w:t>
      </w:r>
      <w:r>
        <w:rPr>
          <w:rFonts w:hint="eastAsia" w:ascii="宋体" w:hAnsi="宋体" w:cs="宋体"/>
          <w:sz w:val="24"/>
          <w:szCs w:val="24"/>
          <w:u w:val="single"/>
        </w:rPr>
        <w:t xml:space="preserve">           </w:t>
      </w:r>
    </w:p>
    <w:p w14:paraId="0B2D2B72">
      <w:pPr>
        <w:spacing w:line="480" w:lineRule="auto"/>
        <w:rPr>
          <w:rFonts w:hint="eastAsia" w:ascii="宋体" w:hAnsi="宋体" w:cs="宋体"/>
          <w:sz w:val="24"/>
          <w:szCs w:val="24"/>
        </w:rPr>
      </w:pPr>
      <w:r>
        <w:rPr>
          <w:rFonts w:hint="eastAsia" w:ascii="宋体" w:hAnsi="宋体" w:cs="宋体"/>
          <w:sz w:val="24"/>
          <w:szCs w:val="24"/>
        </w:rPr>
        <w:t>银行账号：</w:t>
      </w:r>
      <w:r>
        <w:rPr>
          <w:rFonts w:hint="eastAsia" w:ascii="宋体" w:hAnsi="宋体" w:cs="宋体"/>
          <w:sz w:val="24"/>
          <w:szCs w:val="24"/>
          <w:u w:val="single"/>
        </w:rPr>
        <w:t xml:space="preserve">           </w:t>
      </w:r>
    </w:p>
    <w:p w14:paraId="4ACA70B2">
      <w:pPr>
        <w:spacing w:line="480" w:lineRule="auto"/>
        <w:rPr>
          <w:rFonts w:hint="eastAsia" w:ascii="宋体" w:hAnsi="宋体" w:cs="宋体"/>
          <w:sz w:val="24"/>
          <w:szCs w:val="24"/>
        </w:rPr>
      </w:pPr>
      <w:r>
        <w:rPr>
          <w:rFonts w:hint="eastAsia" w:ascii="宋体" w:hAnsi="宋体" w:cs="宋体"/>
          <w:sz w:val="24"/>
          <w:szCs w:val="24"/>
        </w:rPr>
        <w:t>统一社会信用代码：</w:t>
      </w:r>
      <w:r>
        <w:rPr>
          <w:rFonts w:hint="eastAsia" w:ascii="宋体" w:hAnsi="宋体" w:cs="宋体"/>
          <w:sz w:val="24"/>
          <w:szCs w:val="24"/>
          <w:u w:val="single"/>
        </w:rPr>
        <w:t xml:space="preserve">           </w:t>
      </w:r>
    </w:p>
    <w:p w14:paraId="0C0D9C0B">
      <w:pPr>
        <w:pStyle w:val="9"/>
        <w:spacing w:beforeLines="0" w:afterLines="0" w:line="480" w:lineRule="auto"/>
        <w:ind w:left="0" w:leftChars="0"/>
        <w:rPr>
          <w:rFonts w:hint="eastAsia" w:ascii="宋体" w:hAnsi="宋体" w:eastAsia="宋体" w:cs="宋体"/>
          <w:sz w:val="24"/>
          <w:szCs w:val="24"/>
        </w:rPr>
      </w:pPr>
      <w:r>
        <w:rPr>
          <w:rFonts w:hint="eastAsia" w:ascii="宋体" w:hAnsi="宋体" w:eastAsia="宋体" w:cs="宋体"/>
          <w:sz w:val="24"/>
          <w:szCs w:val="24"/>
        </w:rPr>
        <w:t>签字日期：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36605EC4">
      <w:pPr>
        <w:spacing w:beforeLines="0" w:afterLines="0" w:line="480" w:lineRule="auto"/>
        <w:rPr>
          <w:rFonts w:hint="eastAsia" w:ascii="宋体" w:hAnsi="宋体" w:eastAsia="宋体" w:cs="宋体"/>
          <w:sz w:val="24"/>
          <w:szCs w:val="24"/>
        </w:rPr>
        <w:sectPr>
          <w:footerReference r:id="rId7" w:type="default"/>
          <w:type w:val="continuous"/>
          <w:pgSz w:w="11906" w:h="16838"/>
          <w:pgMar w:top="1440" w:right="1633" w:bottom="1440" w:left="1633" w:header="851" w:footer="992" w:gutter="0"/>
          <w:lnNumType w:countBy="0" w:distance="360"/>
          <w:pgNumType w:start="32"/>
          <w:cols w:equalWidth="0" w:num="2">
            <w:col w:w="4107" w:space="425"/>
            <w:col w:w="4107"/>
          </w:cols>
          <w:docGrid w:type="lines" w:linePitch="312" w:charSpace="0"/>
        </w:sectPr>
      </w:pPr>
    </w:p>
    <w:p w14:paraId="68B93C7E">
      <w:pPr>
        <w:jc w:val="left"/>
        <w:rPr>
          <w:rFonts w:hint="eastAsia" w:ascii="仿宋" w:hAnsi="仿宋" w:eastAsia="仿宋" w:cs="仿宋"/>
          <w:sz w:val="28"/>
          <w:szCs w:val="28"/>
          <w:lang w:eastAsia="zh-CN"/>
        </w:rPr>
      </w:pPr>
      <w:r>
        <w:rPr>
          <w:rFonts w:hint="eastAsia" w:ascii="仿宋" w:hAnsi="仿宋" w:eastAsia="仿宋" w:cs="仿宋"/>
          <w:sz w:val="28"/>
          <w:szCs w:val="28"/>
        </w:rPr>
        <w:t>附</w:t>
      </w:r>
      <w:r>
        <w:rPr>
          <w:rFonts w:hint="eastAsia" w:ascii="仿宋" w:hAnsi="仿宋" w:eastAsia="仿宋" w:cs="仿宋"/>
          <w:sz w:val="28"/>
          <w:szCs w:val="28"/>
          <w:lang w:val="en-US" w:eastAsia="zh-CN"/>
        </w:rPr>
        <w:t>件1</w:t>
      </w:r>
    </w:p>
    <w:p w14:paraId="1B6F372D">
      <w:pPr>
        <w:ind w:firstLine="480"/>
        <w:jc w:val="right"/>
        <w:rPr>
          <w:rFonts w:ascii="Times New Roman" w:hAnsi="Times New Roman" w:eastAsia="宋体" w:cs="Times New Roman"/>
          <w:sz w:val="40"/>
          <w:szCs w:val="36"/>
        </w:rPr>
      </w:pPr>
      <w:r>
        <w:rPr>
          <w:rFonts w:hint="eastAsia" w:ascii="Times New Roman" w:hAnsi="Times New Roman" w:eastAsia="宋体" w:cs="Times New Roman"/>
          <w:sz w:val="40"/>
          <w:szCs w:val="36"/>
        </w:rPr>
        <w:t>正本/副本</w:t>
      </w:r>
    </w:p>
    <w:p w14:paraId="649F3630">
      <w:pPr>
        <w:ind w:firstLine="480"/>
        <w:jc w:val="right"/>
        <w:rPr>
          <w:rFonts w:ascii="Times New Roman" w:hAnsi="Times New Roman" w:eastAsia="宋体" w:cs="Times New Roman"/>
          <w:szCs w:val="22"/>
        </w:rPr>
      </w:pPr>
    </w:p>
    <w:p w14:paraId="0E7B0713">
      <w:pPr>
        <w:jc w:val="center"/>
        <w:rPr>
          <w:rFonts w:ascii="Times New Roman" w:hAnsi="Times New Roman" w:eastAsia="宋体" w:cs="Times New Roman"/>
          <w:sz w:val="84"/>
          <w:szCs w:val="84"/>
        </w:rPr>
      </w:pPr>
    </w:p>
    <w:p w14:paraId="511BC2D9">
      <w:pPr>
        <w:jc w:val="center"/>
        <w:rPr>
          <w:rFonts w:ascii="Times New Roman" w:hAnsi="Times New Roman" w:eastAsia="宋体" w:cs="Times New Roman"/>
          <w:sz w:val="84"/>
          <w:szCs w:val="84"/>
        </w:rPr>
      </w:pPr>
    </w:p>
    <w:p w14:paraId="1F911077">
      <w:pPr>
        <w:jc w:val="center"/>
        <w:rPr>
          <w:rFonts w:ascii="Times New Roman" w:hAnsi="Times New Roman" w:eastAsia="宋体" w:cs="Times New Roman"/>
          <w:sz w:val="84"/>
          <w:szCs w:val="84"/>
        </w:rPr>
      </w:pPr>
    </w:p>
    <w:p w14:paraId="1E00624E">
      <w:pPr>
        <w:jc w:val="center"/>
        <w:outlineLvl w:val="0"/>
        <w:rPr>
          <w:rFonts w:ascii="Times New Roman" w:hAnsi="Times New Roman" w:eastAsia="宋体" w:cs="Times New Roman"/>
          <w:sz w:val="96"/>
          <w:szCs w:val="72"/>
        </w:rPr>
      </w:pPr>
      <w:r>
        <w:rPr>
          <w:rFonts w:hint="eastAsia" w:ascii="Times New Roman" w:hAnsi="Times New Roman" w:eastAsia="宋体" w:cs="Times New Roman"/>
          <w:sz w:val="96"/>
          <w:szCs w:val="72"/>
        </w:rPr>
        <w:t>资格文件</w:t>
      </w:r>
    </w:p>
    <w:p w14:paraId="37221C40">
      <w:pPr>
        <w:jc w:val="center"/>
        <w:rPr>
          <w:rFonts w:ascii="Times New Roman" w:hAnsi="Times New Roman" w:eastAsia="宋体" w:cs="Times New Roman"/>
          <w:szCs w:val="22"/>
        </w:rPr>
      </w:pPr>
    </w:p>
    <w:p w14:paraId="48E3A906">
      <w:pPr>
        <w:jc w:val="center"/>
        <w:rPr>
          <w:rFonts w:ascii="Times New Roman" w:hAnsi="Times New Roman" w:eastAsia="宋体" w:cs="Times New Roman"/>
          <w:szCs w:val="22"/>
        </w:rPr>
      </w:pPr>
    </w:p>
    <w:p w14:paraId="739F8C11">
      <w:pPr>
        <w:jc w:val="center"/>
        <w:rPr>
          <w:rFonts w:ascii="Times New Roman" w:hAnsi="Times New Roman" w:eastAsia="宋体" w:cs="Times New Roman"/>
          <w:szCs w:val="22"/>
        </w:rPr>
      </w:pPr>
    </w:p>
    <w:p w14:paraId="686272F0">
      <w:pPr>
        <w:jc w:val="center"/>
        <w:rPr>
          <w:rFonts w:ascii="Times New Roman" w:hAnsi="Times New Roman" w:eastAsia="宋体" w:cs="Times New Roman"/>
          <w:szCs w:val="22"/>
        </w:rPr>
      </w:pPr>
    </w:p>
    <w:p w14:paraId="54FD0B39">
      <w:pPr>
        <w:jc w:val="center"/>
        <w:rPr>
          <w:rFonts w:ascii="Times New Roman" w:hAnsi="Times New Roman" w:eastAsia="宋体" w:cs="Times New Roman"/>
          <w:szCs w:val="22"/>
        </w:rPr>
      </w:pPr>
    </w:p>
    <w:p w14:paraId="0490F6CA">
      <w:pPr>
        <w:jc w:val="center"/>
        <w:rPr>
          <w:rFonts w:ascii="Times New Roman" w:hAnsi="Times New Roman" w:eastAsia="宋体" w:cs="Times New Roman"/>
          <w:szCs w:val="22"/>
        </w:rPr>
      </w:pPr>
    </w:p>
    <w:p w14:paraId="262AD6E6">
      <w:pPr>
        <w:jc w:val="center"/>
        <w:rPr>
          <w:rFonts w:ascii="Times New Roman" w:hAnsi="Times New Roman" w:eastAsia="宋体" w:cs="Times New Roman"/>
          <w:szCs w:val="22"/>
        </w:rPr>
      </w:pPr>
    </w:p>
    <w:p w14:paraId="452145E3">
      <w:pPr>
        <w:pStyle w:val="8"/>
        <w:ind w:firstLine="280"/>
      </w:pPr>
      <w:r>
        <w:rPr>
          <w:rFonts w:hint="eastAsia"/>
        </w:rPr>
        <w:t>项目名称：</w:t>
      </w:r>
    </w:p>
    <w:p w14:paraId="43924FA5">
      <w:pPr>
        <w:pStyle w:val="8"/>
        <w:ind w:firstLine="280"/>
        <w:rPr>
          <w:rFonts w:hint="eastAsia"/>
        </w:rPr>
      </w:pPr>
      <w:r>
        <w:rPr>
          <w:rFonts w:hint="eastAsia"/>
        </w:rPr>
        <w:t>项目编号：</w:t>
      </w:r>
    </w:p>
    <w:p w14:paraId="4A687C99">
      <w:pPr>
        <w:pStyle w:val="8"/>
        <w:ind w:firstLine="280"/>
      </w:pPr>
      <w:r>
        <w:rPr>
          <w:rFonts w:hint="eastAsia"/>
        </w:rPr>
        <w:t>投标人名称：</w:t>
      </w:r>
    </w:p>
    <w:p w14:paraId="02590DCF">
      <w:pPr>
        <w:pStyle w:val="8"/>
        <w:ind w:firstLine="280"/>
      </w:pPr>
      <w:r>
        <w:rPr>
          <w:rFonts w:hint="eastAsia"/>
        </w:rPr>
        <w:t>投标人地址：</w:t>
      </w:r>
    </w:p>
    <w:p w14:paraId="5A2934B1">
      <w:pPr>
        <w:pStyle w:val="8"/>
        <w:ind w:firstLine="280"/>
      </w:pPr>
      <w:r>
        <w:rPr>
          <w:rFonts w:hint="eastAsia"/>
        </w:rPr>
        <w:t>在    年    月    日    时    分之前不得启封</w:t>
      </w:r>
    </w:p>
    <w:p w14:paraId="46344FB3">
      <w:pPr>
        <w:ind w:firstLine="480"/>
        <w:jc w:val="right"/>
        <w:rPr>
          <w:rFonts w:ascii="Times New Roman" w:hAnsi="Times New Roman" w:eastAsia="宋体" w:cs="Times New Roman"/>
          <w:sz w:val="28"/>
        </w:rPr>
      </w:pPr>
    </w:p>
    <w:p w14:paraId="32E2AE82">
      <w:pPr>
        <w:ind w:firstLine="480"/>
        <w:jc w:val="right"/>
        <w:rPr>
          <w:rFonts w:ascii="Times New Roman" w:hAnsi="Times New Roman" w:eastAsia="宋体" w:cs="Times New Roman"/>
          <w:sz w:val="28"/>
        </w:rPr>
      </w:pPr>
      <w:r>
        <w:rPr>
          <w:rFonts w:hint="eastAsia" w:ascii="Times New Roman" w:hAnsi="Times New Roman" w:eastAsia="宋体" w:cs="Times New Roman"/>
          <w:sz w:val="28"/>
        </w:rPr>
        <w:t>年  月  日</w:t>
      </w:r>
    </w:p>
    <w:p w14:paraId="29A15DE7">
      <w:pPr>
        <w:rPr>
          <w:rFonts w:ascii="Times New Roman" w:hAnsi="Times New Roman" w:eastAsia="宋体" w:cs="Times New Roman"/>
          <w:szCs w:val="22"/>
          <w:lang w:eastAsia="zh-Hans"/>
        </w:rPr>
      </w:pPr>
      <w:r>
        <w:rPr>
          <w:rFonts w:hint="eastAsia" w:ascii="Times New Roman" w:hAnsi="Times New Roman" w:eastAsia="宋体" w:cs="Times New Roman"/>
          <w:szCs w:val="22"/>
        </w:rPr>
        <w:br w:type="page"/>
      </w:r>
    </w:p>
    <w:p w14:paraId="53D19584">
      <w:pPr>
        <w:pStyle w:val="22"/>
        <w:numPr>
          <w:ilvl w:val="0"/>
          <w:numId w:val="13"/>
        </w:numPr>
        <w:ind w:firstLineChars="0"/>
        <w:rPr>
          <w:rFonts w:ascii="仿宋" w:hAnsi="仿宋" w:eastAsia="仿宋" w:cs="仿宋"/>
          <w:sz w:val="32"/>
          <w:szCs w:val="32"/>
        </w:rPr>
      </w:pPr>
      <w:r>
        <w:rPr>
          <w:rFonts w:ascii="仿宋" w:hAnsi="仿宋" w:eastAsia="仿宋" w:cs="仿宋"/>
          <w:sz w:val="32"/>
          <w:szCs w:val="32"/>
        </w:rPr>
        <w:t>有效的营业执照复印件，非法人企业需提供其他证明材料（加盖公章）；</w:t>
      </w:r>
    </w:p>
    <w:p w14:paraId="7E3E1EC4">
      <w:pPr>
        <w:pStyle w:val="22"/>
        <w:numPr>
          <w:ilvl w:val="0"/>
          <w:numId w:val="13"/>
        </w:numPr>
        <w:ind w:firstLineChars="0"/>
        <w:rPr>
          <w:rFonts w:ascii="仿宋" w:hAnsi="仿宋" w:eastAsia="仿宋" w:cs="仿宋"/>
          <w:sz w:val="32"/>
          <w:szCs w:val="32"/>
        </w:rPr>
      </w:pPr>
      <w:r>
        <w:rPr>
          <w:rFonts w:ascii="仿宋" w:hAnsi="仿宋" w:eastAsia="仿宋" w:cs="仿宋"/>
          <w:sz w:val="32"/>
          <w:szCs w:val="32"/>
        </w:rPr>
        <w:t>提供自采购公告发布之日起至开标截止时间止的“信用中国”网站（www.creditchina.gov.cn）、中国政府采购网（www.ccgp.gov.cn）、“浙江政府采购网”（www.zjzfcg.gov.cn）投标人信用查询网页截图（至少提供2个网站的截图；以开标当日采购人核实的查询结果为准）；</w:t>
      </w:r>
    </w:p>
    <w:p w14:paraId="09B5DE4F">
      <w:pPr>
        <w:pStyle w:val="22"/>
        <w:numPr>
          <w:ilvl w:val="0"/>
          <w:numId w:val="13"/>
        </w:numPr>
        <w:ind w:firstLineChars="0"/>
        <w:rPr>
          <w:rFonts w:ascii="仿宋" w:hAnsi="仿宋" w:eastAsia="仿宋" w:cs="仿宋"/>
          <w:sz w:val="32"/>
          <w:szCs w:val="32"/>
        </w:rPr>
      </w:pPr>
      <w:r>
        <w:rPr>
          <w:rFonts w:ascii="仿宋" w:hAnsi="仿宋" w:eastAsia="仿宋" w:cs="仿宋"/>
          <w:sz w:val="32"/>
          <w:szCs w:val="32"/>
        </w:rPr>
        <w:t>法定代表人身份证复印件（加盖公章）；如非法定代表人参与开标，需额外提供法定代表人授权委托书原件（加盖公章）、授权委托人身份证复印件（加盖公章）；</w:t>
      </w:r>
    </w:p>
    <w:p w14:paraId="5AE0BEF7">
      <w:pPr>
        <w:pStyle w:val="22"/>
        <w:numPr>
          <w:ilvl w:val="0"/>
          <w:numId w:val="13"/>
        </w:numPr>
        <w:ind w:firstLineChars="0"/>
        <w:rPr>
          <w:rFonts w:hint="default"/>
          <w:bCs/>
          <w:sz w:val="32"/>
          <w:szCs w:val="36"/>
        </w:rPr>
      </w:pPr>
      <w:r>
        <w:rPr>
          <w:rFonts w:ascii="仿宋" w:hAnsi="仿宋" w:eastAsia="仿宋" w:cs="仿宋"/>
          <w:sz w:val="32"/>
          <w:szCs w:val="32"/>
        </w:rPr>
        <w:t>最近三个月内任意一个月的依法缴纳</w:t>
      </w:r>
      <w:r>
        <w:rPr>
          <w:rFonts w:ascii="仿宋" w:hAnsi="仿宋" w:eastAsia="仿宋" w:cs="仿宋"/>
          <w:b/>
          <w:bCs/>
          <w:sz w:val="32"/>
          <w:szCs w:val="32"/>
        </w:rPr>
        <w:t>税收</w:t>
      </w:r>
      <w:r>
        <w:rPr>
          <w:rFonts w:ascii="仿宋" w:hAnsi="仿宋" w:eastAsia="仿宋" w:cs="仿宋"/>
          <w:sz w:val="32"/>
          <w:szCs w:val="32"/>
        </w:rPr>
        <w:t>和</w:t>
      </w:r>
      <w:r>
        <w:rPr>
          <w:rFonts w:ascii="仿宋" w:hAnsi="仿宋" w:eastAsia="仿宋" w:cs="仿宋"/>
          <w:b/>
          <w:bCs/>
          <w:sz w:val="32"/>
          <w:szCs w:val="32"/>
        </w:rPr>
        <w:t>社保证明</w:t>
      </w:r>
      <w:r>
        <w:rPr>
          <w:rFonts w:ascii="仿宋" w:hAnsi="仿宋" w:eastAsia="仿宋" w:cs="仿宋"/>
          <w:sz w:val="32"/>
          <w:szCs w:val="32"/>
        </w:rPr>
        <w:t>（税费凭证复印件，或者依法缴纳税费或依法免缴税费的证明）；</w:t>
      </w:r>
    </w:p>
    <w:p w14:paraId="6804C6A8">
      <w:pPr>
        <w:pStyle w:val="22"/>
        <w:numPr>
          <w:ilvl w:val="0"/>
          <w:numId w:val="13"/>
        </w:numPr>
        <w:ind w:firstLineChars="0"/>
        <w:rPr>
          <w:rFonts w:ascii="仿宋" w:hAnsi="仿宋" w:eastAsia="仿宋" w:cs="仿宋"/>
          <w:b/>
          <w:bCs/>
          <w:sz w:val="32"/>
          <w:szCs w:val="32"/>
        </w:rPr>
      </w:pPr>
      <w:r>
        <w:rPr>
          <w:rFonts w:ascii="仿宋" w:hAnsi="仿宋" w:eastAsia="仿宋" w:cs="仿宋"/>
          <w:sz w:val="32"/>
          <w:szCs w:val="32"/>
        </w:rPr>
        <w:t>投标声明书；</w:t>
      </w:r>
    </w:p>
    <w:p w14:paraId="5B010C08">
      <w:pPr>
        <w:pStyle w:val="22"/>
        <w:numPr>
          <w:ilvl w:val="0"/>
          <w:numId w:val="13"/>
        </w:numPr>
        <w:ind w:firstLineChars="0"/>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在“社会消防技术服务信息系统”已录入备案的截图等证明材料。</w:t>
      </w:r>
    </w:p>
    <w:p w14:paraId="102E9560">
      <w:pPr>
        <w:pStyle w:val="22"/>
        <w:numPr>
          <w:ilvl w:val="0"/>
          <w:numId w:val="13"/>
        </w:numPr>
        <w:rPr>
          <w:sz w:val="28"/>
          <w:szCs w:val="28"/>
          <w:highlight w:val="none"/>
        </w:rPr>
        <w:sectPr>
          <w:footerReference r:id="rId8" w:type="default"/>
          <w:pgSz w:w="11906" w:h="16838"/>
          <w:pgMar w:top="1134" w:right="1531" w:bottom="992" w:left="1531" w:header="851" w:footer="992" w:gutter="0"/>
          <w:cols w:space="0" w:num="1"/>
          <w:docGrid w:type="lines" w:linePitch="312" w:charSpace="0"/>
        </w:sectPr>
      </w:pPr>
    </w:p>
    <w:p w14:paraId="69B4FBB7">
      <w:pPr>
        <w:keepNext/>
        <w:keepLines/>
        <w:jc w:val="center"/>
        <w:outlineLvl w:val="2"/>
        <w:rPr>
          <w:rFonts w:hint="eastAsia" w:ascii="微软雅黑" w:hAnsi="微软雅黑" w:eastAsia="仿宋" w:cs="微软雅黑"/>
          <w:bCs/>
          <w:szCs w:val="22"/>
        </w:rPr>
      </w:pPr>
      <w:r>
        <w:rPr>
          <w:rFonts w:hint="eastAsia" w:ascii="Times New Roman" w:hAnsi="Times New Roman" w:eastAsia="仿宋" w:cs="Times New Roman"/>
          <w:b/>
          <w:sz w:val="30"/>
          <w:szCs w:val="22"/>
        </w:rPr>
        <w:t>法定代表人授权委托书</w:t>
      </w:r>
    </w:p>
    <w:p w14:paraId="50FC43FA">
      <w:pPr>
        <w:pStyle w:val="22"/>
        <w:ind w:firstLine="0" w:firstLineChars="0"/>
        <w:rPr>
          <w:rFonts w:hint="default"/>
        </w:rPr>
      </w:pPr>
      <w:r>
        <w:t>致湖州学院：</w:t>
      </w:r>
    </w:p>
    <w:p w14:paraId="1EEA3A5B">
      <w:pPr>
        <w:pStyle w:val="22"/>
        <w:ind w:firstLine="480"/>
        <w:rPr>
          <w:rFonts w:hint="default"/>
        </w:rPr>
      </w:pPr>
      <w:r>
        <w:t>本人</w:t>
      </w:r>
      <w:r>
        <w:rPr>
          <w:u w:val="single"/>
        </w:rPr>
        <w:t xml:space="preserve">          </w:t>
      </w:r>
      <w:r>
        <w:t xml:space="preserve"> （姓名），身份证号</w:t>
      </w:r>
      <w:r>
        <w:rPr>
          <w:u w:val="single"/>
        </w:rPr>
        <w:t xml:space="preserve">     </w:t>
      </w:r>
      <w:r>
        <w:rPr>
          <w:rFonts w:hint="eastAsia"/>
          <w:u w:val="single"/>
          <w:lang w:val="en-US" w:eastAsia="zh-CN"/>
        </w:rPr>
        <w:t xml:space="preserve">     </w:t>
      </w:r>
      <w:r>
        <w:rPr>
          <w:u w:val="single"/>
        </w:rPr>
        <w:t xml:space="preserve">    </w:t>
      </w:r>
      <w:r>
        <w:t xml:space="preserve">，系 </w:t>
      </w:r>
      <w:r>
        <w:rPr>
          <w:u w:val="single"/>
        </w:rPr>
        <w:t xml:space="preserve">              </w:t>
      </w:r>
      <w:r>
        <w:t>（供应商名称）的法定代表人，现授权委托</w:t>
      </w:r>
      <w:r>
        <w:rPr>
          <w:u w:val="single"/>
        </w:rPr>
        <w:t xml:space="preserve">            </w:t>
      </w:r>
      <w:r>
        <w:t>（姓名），身份证</w:t>
      </w:r>
      <w:r>
        <w:rPr>
          <w:highlight w:val="none"/>
        </w:rPr>
        <w:t>号</w:t>
      </w:r>
      <w:r>
        <w:rPr>
          <w:highlight w:val="none"/>
          <w:u w:val="single"/>
        </w:rPr>
        <w:t xml:space="preserve">             </w:t>
      </w:r>
      <w:r>
        <w:rPr>
          <w:highlight w:val="none"/>
        </w:rPr>
        <w:t xml:space="preserve"> ，为授权委托人。以我方的名义参加</w:t>
      </w:r>
      <w:r>
        <w:rPr>
          <w:rFonts w:hint="eastAsia"/>
          <w:highlight w:val="none"/>
          <w:lang w:val="en-US" w:eastAsia="zh-CN"/>
        </w:rPr>
        <w:t xml:space="preserve">本项目名称： </w:t>
      </w:r>
      <w:r>
        <w:rPr>
          <w:rFonts w:hint="eastAsia"/>
          <w:highlight w:val="none"/>
          <w:u w:val="single"/>
          <w:lang w:val="en-US" w:eastAsia="zh-CN"/>
        </w:rPr>
        <w:t xml:space="preserve">             </w:t>
      </w:r>
      <w:r>
        <w:rPr>
          <w:rFonts w:hint="eastAsia"/>
          <w:highlight w:val="none"/>
          <w:lang w:val="en-US" w:eastAsia="zh-CN"/>
        </w:rPr>
        <w:t>编号：</w:t>
      </w:r>
      <w:r>
        <w:rPr>
          <w:rFonts w:hint="eastAsia"/>
          <w:highlight w:val="none"/>
          <w:u w:val="single"/>
          <w:lang w:val="en-US" w:eastAsia="zh-CN"/>
        </w:rPr>
        <w:t xml:space="preserve">               </w:t>
      </w:r>
      <w:r>
        <w:rPr>
          <w:rFonts w:hint="eastAsia"/>
          <w:highlight w:val="none"/>
          <w:lang w:val="en-US" w:eastAsia="zh-CN"/>
        </w:rPr>
        <w:t>的投标活动，</w:t>
      </w:r>
      <w:r>
        <w:rPr>
          <w:highlight w:val="none"/>
        </w:rPr>
        <w:t>并代表我方全权办理针对上述项目的投标、开标、</w:t>
      </w:r>
      <w:r>
        <w:t>评标、签约等具体事务和签署相关文件。</w:t>
      </w:r>
    </w:p>
    <w:p w14:paraId="5C768A5D">
      <w:pPr>
        <w:pStyle w:val="22"/>
        <w:ind w:firstLine="480"/>
        <w:rPr>
          <w:rFonts w:hint="default"/>
        </w:rPr>
      </w:pPr>
      <w:r>
        <w:t>我方对授权委托人的签名事项负全部责任。</w:t>
      </w:r>
    </w:p>
    <w:p w14:paraId="09E1C855">
      <w:pPr>
        <w:pStyle w:val="22"/>
        <w:ind w:firstLine="480"/>
        <w:rPr>
          <w:rFonts w:hint="default"/>
        </w:rPr>
      </w:pPr>
      <w:r>
        <w:t>本授权书自签订之日起180日内有效，授权委托人在授权书有效期内签署的所有文件不因授权的撤销而失效。</w:t>
      </w:r>
    </w:p>
    <w:p w14:paraId="1C39A7AF">
      <w:pPr>
        <w:pStyle w:val="22"/>
        <w:ind w:firstLine="480"/>
        <w:rPr>
          <w:rFonts w:hint="default"/>
        </w:rPr>
      </w:pPr>
      <w:r>
        <w:t>授权委托人无转委托权，特此委托。</w:t>
      </w:r>
    </w:p>
    <w:p w14:paraId="55923E03">
      <w:pPr>
        <w:pStyle w:val="22"/>
        <w:ind w:firstLine="480"/>
        <w:rPr>
          <w:rFonts w:hint="default"/>
        </w:rPr>
      </w:pPr>
    </w:p>
    <w:p w14:paraId="1A637F92">
      <w:pPr>
        <w:pStyle w:val="22"/>
        <w:ind w:firstLine="480"/>
        <w:rPr>
          <w:rFonts w:hint="default"/>
        </w:rPr>
      </w:pPr>
      <w:r>
        <w:t>授权委托人签名：                 法定代表人签名：</w:t>
      </w:r>
    </w:p>
    <w:p w14:paraId="355BA35D">
      <w:pPr>
        <w:pStyle w:val="22"/>
        <w:ind w:firstLine="480"/>
        <w:rPr>
          <w:rFonts w:hint="default"/>
        </w:rPr>
      </w:pPr>
      <w:r>
        <w:t>供应商全称公章：</w:t>
      </w:r>
    </w:p>
    <w:p w14:paraId="5F81F64C">
      <w:pPr>
        <w:pStyle w:val="22"/>
        <w:ind w:firstLine="480"/>
        <w:rPr>
          <w:rFonts w:hint="default"/>
        </w:rPr>
      </w:pPr>
    </w:p>
    <w:p w14:paraId="60D93241">
      <w:pPr>
        <w:pStyle w:val="22"/>
        <w:ind w:firstLine="480"/>
        <w:rPr>
          <w:rFonts w:hint="default"/>
          <w:lang w:eastAsia="zh-Hans"/>
        </w:rPr>
      </w:pPr>
      <w:r>
        <w:rPr>
          <w:lang w:eastAsia="zh-Hans"/>
        </w:rPr>
        <w:t xml:space="preserve">日期：  </w:t>
      </w:r>
      <w:r>
        <w:t xml:space="preserve">  </w:t>
      </w:r>
      <w:r>
        <w:rPr>
          <w:lang w:eastAsia="zh-Hans"/>
        </w:rPr>
        <w:t xml:space="preserve">  年 </w:t>
      </w:r>
      <w:r>
        <w:t xml:space="preserve">  </w:t>
      </w:r>
      <w:r>
        <w:rPr>
          <w:lang w:eastAsia="zh-Hans"/>
        </w:rPr>
        <w:t xml:space="preserve"> 月</w:t>
      </w:r>
      <w:r>
        <w:t xml:space="preserve">  </w:t>
      </w:r>
      <w:r>
        <w:rPr>
          <w:lang w:eastAsia="zh-Hans"/>
        </w:rPr>
        <w:t xml:space="preserve">  日</w:t>
      </w:r>
    </w:p>
    <w:tbl>
      <w:tblPr>
        <w:tblStyle w:val="15"/>
        <w:tblW w:w="9161"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6"/>
        <w:gridCol w:w="375"/>
        <w:gridCol w:w="4280"/>
      </w:tblGrid>
      <w:tr w14:paraId="3F63C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506" w:type="dxa"/>
            <w:tcBorders>
              <w:top w:val="single" w:color="auto" w:sz="4" w:space="0"/>
              <w:left w:val="single" w:color="auto" w:sz="4" w:space="0"/>
              <w:bottom w:val="single" w:color="auto" w:sz="4" w:space="0"/>
              <w:right w:val="single" w:color="auto" w:sz="4" w:space="0"/>
            </w:tcBorders>
            <w:vAlign w:val="center"/>
          </w:tcPr>
          <w:p w14:paraId="28320901">
            <w:pPr>
              <w:keepNext w:val="0"/>
              <w:keepLines w:val="0"/>
              <w:suppressLineNumbers w:val="0"/>
              <w:spacing w:before="0" w:beforeAutospacing="0" w:after="0" w:afterAutospacing="0" w:line="360" w:lineRule="auto"/>
              <w:ind w:left="0" w:right="0"/>
              <w:jc w:val="center"/>
              <w:rPr>
                <w:rFonts w:hint="eastAsia" w:ascii="宋体" w:hAnsi="宋体" w:eastAsia="宋体" w:cs="宋体"/>
                <w:b/>
                <w:bCs/>
                <w:spacing w:val="24"/>
                <w:sz w:val="24"/>
                <w:lang w:bidi="ar"/>
              </w:rPr>
            </w:pPr>
            <w:r>
              <w:rPr>
                <w:rFonts w:hint="eastAsia" w:ascii="宋体" w:hAnsi="宋体" w:eastAsia="宋体" w:cs="宋体"/>
                <w:b/>
                <w:bCs/>
                <w:spacing w:val="24"/>
                <w:sz w:val="24"/>
                <w:lang w:bidi="ar"/>
              </w:rPr>
              <w:t>法定代表人居民身份证</w:t>
            </w:r>
          </w:p>
          <w:p w14:paraId="3E402518">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24"/>
                <w:sz w:val="24"/>
                <w:lang w:bidi="ar"/>
              </w:rPr>
            </w:pPr>
            <w:r>
              <w:rPr>
                <w:rFonts w:hint="eastAsia" w:ascii="宋体" w:hAnsi="宋体" w:eastAsia="宋体" w:cs="宋体"/>
                <w:spacing w:val="24"/>
                <w:sz w:val="24"/>
                <w:lang w:bidi="ar"/>
              </w:rPr>
              <w:t>复印件</w:t>
            </w:r>
          </w:p>
          <w:p w14:paraId="5692BE05">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24"/>
                <w:sz w:val="24"/>
                <w:lang w:bidi="ar"/>
              </w:rPr>
            </w:pPr>
            <w:r>
              <w:rPr>
                <w:rFonts w:hint="eastAsia" w:ascii="宋体" w:hAnsi="宋体" w:eastAsia="宋体" w:cs="宋体"/>
                <w:spacing w:val="24"/>
                <w:sz w:val="24"/>
                <w:lang w:bidi="ar"/>
              </w:rPr>
              <w:t>（正面）</w:t>
            </w:r>
          </w:p>
        </w:tc>
        <w:tc>
          <w:tcPr>
            <w:tcW w:w="375" w:type="dxa"/>
            <w:tcBorders>
              <w:top w:val="nil"/>
              <w:left w:val="nil"/>
              <w:bottom w:val="nil"/>
              <w:right w:val="single" w:color="auto" w:sz="4" w:space="0"/>
            </w:tcBorders>
          </w:tcPr>
          <w:p w14:paraId="41C4F0E1">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24"/>
                <w:sz w:val="24"/>
                <w:lang w:bidi="ar"/>
              </w:rPr>
            </w:pPr>
          </w:p>
        </w:tc>
        <w:tc>
          <w:tcPr>
            <w:tcW w:w="4280" w:type="dxa"/>
            <w:tcBorders>
              <w:top w:val="single" w:color="auto" w:sz="4" w:space="0"/>
              <w:left w:val="nil"/>
              <w:bottom w:val="single" w:color="auto" w:sz="4" w:space="0"/>
              <w:right w:val="single" w:color="auto" w:sz="4" w:space="0"/>
            </w:tcBorders>
            <w:vAlign w:val="center"/>
          </w:tcPr>
          <w:p w14:paraId="46AC781D">
            <w:pPr>
              <w:keepNext w:val="0"/>
              <w:keepLines w:val="0"/>
              <w:suppressLineNumbers w:val="0"/>
              <w:spacing w:before="0" w:beforeAutospacing="0" w:after="0" w:afterAutospacing="0" w:line="360" w:lineRule="auto"/>
              <w:ind w:left="0" w:right="0"/>
              <w:jc w:val="center"/>
              <w:rPr>
                <w:rFonts w:hint="eastAsia" w:ascii="宋体" w:hAnsi="宋体" w:eastAsia="宋体" w:cs="宋体"/>
                <w:b/>
                <w:bCs/>
                <w:spacing w:val="24"/>
                <w:sz w:val="24"/>
                <w:lang w:bidi="ar"/>
              </w:rPr>
            </w:pPr>
            <w:r>
              <w:rPr>
                <w:rFonts w:hint="eastAsia" w:ascii="宋体" w:hAnsi="宋体" w:eastAsia="宋体" w:cs="宋体"/>
                <w:b/>
                <w:bCs/>
                <w:spacing w:val="24"/>
                <w:sz w:val="24"/>
                <w:lang w:bidi="ar"/>
              </w:rPr>
              <w:t>法定代表人居民身份证</w:t>
            </w:r>
          </w:p>
          <w:p w14:paraId="43C8F0DD">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24"/>
                <w:sz w:val="24"/>
                <w:lang w:bidi="ar"/>
              </w:rPr>
            </w:pPr>
            <w:r>
              <w:rPr>
                <w:rFonts w:hint="eastAsia" w:ascii="宋体" w:hAnsi="宋体" w:eastAsia="宋体" w:cs="宋体"/>
                <w:spacing w:val="24"/>
                <w:sz w:val="24"/>
                <w:lang w:bidi="ar"/>
              </w:rPr>
              <w:t>复印件</w:t>
            </w:r>
          </w:p>
          <w:p w14:paraId="69A47DEB">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24"/>
                <w:sz w:val="24"/>
                <w:lang w:bidi="ar"/>
              </w:rPr>
            </w:pPr>
            <w:r>
              <w:rPr>
                <w:rFonts w:hint="eastAsia" w:ascii="宋体" w:hAnsi="宋体" w:eastAsia="宋体" w:cs="宋体"/>
                <w:spacing w:val="24"/>
                <w:sz w:val="24"/>
                <w:lang w:bidi="ar"/>
              </w:rPr>
              <w:t>（反面）</w:t>
            </w:r>
          </w:p>
        </w:tc>
      </w:tr>
    </w:tbl>
    <w:p w14:paraId="0A8C3AEE">
      <w:pPr>
        <w:spacing w:line="360" w:lineRule="auto"/>
        <w:jc w:val="center"/>
        <w:rPr>
          <w:rFonts w:hint="eastAsia" w:ascii="宋体" w:hAnsi="宋体" w:eastAsia="宋体" w:cs="宋体"/>
          <w:spacing w:val="24"/>
          <w:sz w:val="24"/>
          <w:lang w:bidi="ar"/>
        </w:rPr>
      </w:pPr>
    </w:p>
    <w:tbl>
      <w:tblPr>
        <w:tblStyle w:val="15"/>
        <w:tblW w:w="9161"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5"/>
        <w:gridCol w:w="356"/>
        <w:gridCol w:w="4280"/>
      </w:tblGrid>
      <w:tr w14:paraId="6C598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525" w:type="dxa"/>
            <w:tcBorders>
              <w:top w:val="single" w:color="auto" w:sz="4" w:space="0"/>
              <w:left w:val="single" w:color="auto" w:sz="4" w:space="0"/>
              <w:bottom w:val="single" w:color="auto" w:sz="4" w:space="0"/>
              <w:right w:val="single" w:color="auto" w:sz="4" w:space="0"/>
            </w:tcBorders>
            <w:vAlign w:val="center"/>
          </w:tcPr>
          <w:p w14:paraId="6C9E0531">
            <w:pPr>
              <w:keepNext w:val="0"/>
              <w:keepLines w:val="0"/>
              <w:suppressLineNumbers w:val="0"/>
              <w:spacing w:before="0" w:beforeAutospacing="0" w:after="0" w:afterAutospacing="0" w:line="360" w:lineRule="auto"/>
              <w:ind w:left="0" w:right="0"/>
              <w:jc w:val="center"/>
              <w:rPr>
                <w:rFonts w:hint="eastAsia" w:ascii="宋体" w:hAnsi="宋体" w:eastAsia="宋体" w:cs="宋体"/>
                <w:b/>
                <w:bCs/>
                <w:spacing w:val="24"/>
                <w:sz w:val="24"/>
                <w:lang w:bidi="ar"/>
              </w:rPr>
            </w:pPr>
            <w:r>
              <w:rPr>
                <w:rFonts w:hint="eastAsia" w:ascii="宋体" w:hAnsi="宋体" w:eastAsia="宋体" w:cs="宋体"/>
                <w:b/>
                <w:bCs/>
                <w:spacing w:val="24"/>
                <w:sz w:val="24"/>
                <w:lang w:bidi="ar"/>
              </w:rPr>
              <w:t>授权委托人居民身份证</w:t>
            </w:r>
          </w:p>
          <w:p w14:paraId="2EB0CD5E">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24"/>
                <w:sz w:val="24"/>
                <w:lang w:bidi="ar"/>
              </w:rPr>
            </w:pPr>
            <w:r>
              <w:rPr>
                <w:rFonts w:hint="eastAsia" w:ascii="宋体" w:hAnsi="宋体" w:eastAsia="宋体" w:cs="宋体"/>
                <w:spacing w:val="24"/>
                <w:sz w:val="24"/>
                <w:lang w:bidi="ar"/>
              </w:rPr>
              <w:t>复印件</w:t>
            </w:r>
          </w:p>
          <w:p w14:paraId="4D20E61D">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24"/>
                <w:sz w:val="24"/>
                <w:lang w:bidi="ar"/>
              </w:rPr>
            </w:pPr>
            <w:r>
              <w:rPr>
                <w:rFonts w:hint="eastAsia" w:ascii="宋体" w:hAnsi="宋体" w:eastAsia="宋体" w:cs="宋体"/>
                <w:spacing w:val="24"/>
                <w:sz w:val="24"/>
                <w:lang w:bidi="ar"/>
              </w:rPr>
              <w:t>（正面）</w:t>
            </w:r>
          </w:p>
        </w:tc>
        <w:tc>
          <w:tcPr>
            <w:tcW w:w="356" w:type="dxa"/>
            <w:tcBorders>
              <w:top w:val="nil"/>
              <w:left w:val="nil"/>
              <w:bottom w:val="nil"/>
              <w:right w:val="single" w:color="auto" w:sz="4" w:space="0"/>
            </w:tcBorders>
          </w:tcPr>
          <w:p w14:paraId="52A4F3DF">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24"/>
                <w:sz w:val="24"/>
                <w:lang w:bidi="ar"/>
              </w:rPr>
            </w:pPr>
          </w:p>
        </w:tc>
        <w:tc>
          <w:tcPr>
            <w:tcW w:w="4280" w:type="dxa"/>
            <w:tcBorders>
              <w:top w:val="single" w:color="auto" w:sz="4" w:space="0"/>
              <w:left w:val="nil"/>
              <w:bottom w:val="single" w:color="auto" w:sz="4" w:space="0"/>
              <w:right w:val="single" w:color="auto" w:sz="4" w:space="0"/>
            </w:tcBorders>
            <w:vAlign w:val="center"/>
          </w:tcPr>
          <w:p w14:paraId="26344132">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24"/>
                <w:sz w:val="24"/>
                <w:lang w:bidi="ar"/>
              </w:rPr>
            </w:pPr>
            <w:r>
              <w:rPr>
                <w:rFonts w:hint="eastAsia" w:ascii="宋体" w:hAnsi="宋体" w:eastAsia="宋体" w:cs="宋体"/>
                <w:b/>
                <w:bCs/>
                <w:spacing w:val="24"/>
                <w:sz w:val="24"/>
                <w:lang w:bidi="ar"/>
              </w:rPr>
              <w:t>授权委托人居民身份证</w:t>
            </w:r>
          </w:p>
          <w:p w14:paraId="15B35A60">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24"/>
                <w:sz w:val="24"/>
                <w:lang w:bidi="ar"/>
              </w:rPr>
            </w:pPr>
            <w:r>
              <w:rPr>
                <w:rFonts w:hint="eastAsia" w:ascii="宋体" w:hAnsi="宋体" w:eastAsia="宋体" w:cs="宋体"/>
                <w:spacing w:val="24"/>
                <w:sz w:val="24"/>
                <w:lang w:bidi="ar"/>
              </w:rPr>
              <w:t>复印件</w:t>
            </w:r>
          </w:p>
          <w:p w14:paraId="6B1DC529">
            <w:pPr>
              <w:keepNext w:val="0"/>
              <w:keepLines w:val="0"/>
              <w:suppressLineNumbers w:val="0"/>
              <w:spacing w:before="0" w:beforeAutospacing="0" w:after="0" w:afterAutospacing="0" w:line="360" w:lineRule="auto"/>
              <w:ind w:left="0" w:right="0"/>
              <w:jc w:val="center"/>
              <w:rPr>
                <w:rFonts w:hint="eastAsia" w:ascii="宋体" w:hAnsi="宋体" w:eastAsia="宋体" w:cs="宋体"/>
                <w:spacing w:val="24"/>
                <w:sz w:val="24"/>
                <w:lang w:bidi="ar"/>
              </w:rPr>
            </w:pPr>
            <w:r>
              <w:rPr>
                <w:rFonts w:hint="eastAsia" w:ascii="宋体" w:hAnsi="宋体" w:eastAsia="宋体" w:cs="宋体"/>
                <w:spacing w:val="24"/>
                <w:sz w:val="24"/>
                <w:lang w:bidi="ar"/>
              </w:rPr>
              <w:t>（反面）</w:t>
            </w:r>
          </w:p>
        </w:tc>
      </w:tr>
    </w:tbl>
    <w:p w14:paraId="401223BB">
      <w:pPr>
        <w:pStyle w:val="22"/>
        <w:ind w:firstLine="480"/>
        <w:rPr>
          <w:rFonts w:hint="default"/>
        </w:rPr>
      </w:pPr>
      <w:r>
        <w:br w:type="page"/>
      </w:r>
    </w:p>
    <w:p w14:paraId="48038D4D">
      <w:pPr>
        <w:keepNext/>
        <w:keepLines/>
        <w:jc w:val="center"/>
        <w:outlineLvl w:val="2"/>
        <w:rPr>
          <w:rFonts w:ascii="Times New Roman" w:hAnsi="Times New Roman" w:eastAsia="仿宋" w:cs="Times New Roman"/>
          <w:b/>
          <w:sz w:val="30"/>
          <w:szCs w:val="22"/>
          <w:lang w:eastAsia="zh-Hans"/>
        </w:rPr>
      </w:pPr>
      <w:r>
        <w:rPr>
          <w:rFonts w:hint="eastAsia" w:ascii="Times New Roman" w:hAnsi="Times New Roman" w:eastAsia="仿宋" w:cs="Times New Roman"/>
          <w:b/>
          <w:sz w:val="30"/>
          <w:szCs w:val="22"/>
          <w:lang w:eastAsia="zh-Hans"/>
        </w:rPr>
        <w:t>投标声明书</w:t>
      </w:r>
    </w:p>
    <w:p w14:paraId="179BC5F2">
      <w:pPr>
        <w:rPr>
          <w:rFonts w:ascii="Times New Roman" w:hAnsi="Times New Roman" w:eastAsia="宋体" w:cs="Times New Roman"/>
          <w:szCs w:val="22"/>
        </w:rPr>
      </w:pPr>
    </w:p>
    <w:p w14:paraId="7A2C0951">
      <w:pPr>
        <w:pStyle w:val="22"/>
        <w:ind w:firstLine="0" w:firstLineChars="0"/>
        <w:rPr>
          <w:rFonts w:hint="default"/>
        </w:rPr>
      </w:pPr>
      <w:r>
        <w:t>致湖州学院：</w:t>
      </w:r>
    </w:p>
    <w:p w14:paraId="0E7264C1">
      <w:pPr>
        <w:pStyle w:val="22"/>
        <w:ind w:firstLine="480"/>
        <w:rPr>
          <w:rFonts w:hint="default"/>
        </w:rPr>
      </w:pPr>
      <w:r>
        <w:rPr>
          <w:highlight w:val="none"/>
        </w:rPr>
        <w:t xml:space="preserve">我方自愿参加贵方组织的招标活动（名称： </w:t>
      </w:r>
      <w:r>
        <w:rPr>
          <w:highlight w:val="none"/>
          <w:u w:val="single"/>
        </w:rPr>
        <w:t xml:space="preserve">                </w:t>
      </w:r>
      <w:r>
        <w:rPr>
          <w:rFonts w:hint="eastAsia"/>
          <w:highlight w:val="none"/>
          <w:u w:val="none"/>
          <w:lang w:eastAsia="zh-CN"/>
        </w:rPr>
        <w:t>，</w:t>
      </w:r>
      <w:r>
        <w:rPr>
          <w:highlight w:val="none"/>
        </w:rPr>
        <w:t>编号：</w:t>
      </w:r>
      <w:r>
        <w:rPr>
          <w:highlight w:val="none"/>
          <w:u w:val="single"/>
        </w:rPr>
        <w:t xml:space="preserve">        </w:t>
      </w:r>
      <w:r>
        <w:rPr>
          <w:highlight w:val="none"/>
        </w:rPr>
        <w:t>），</w:t>
      </w:r>
      <w:r>
        <w:t>为便于贵方公正、择优地确定中标人及其投标项目的招标，我方就本次投标有关事项郑重声明如下：</w:t>
      </w:r>
    </w:p>
    <w:p w14:paraId="5EA0B2FA">
      <w:pPr>
        <w:pStyle w:val="22"/>
        <w:ind w:firstLine="480"/>
        <w:rPr>
          <w:rFonts w:hint="default"/>
        </w:rPr>
      </w:pPr>
      <w:r>
        <w:t>（一）我方具备《中华人民共和国政府采购法》第二十二条第一款规定的条件：</w:t>
      </w:r>
    </w:p>
    <w:p w14:paraId="3A517B06">
      <w:pPr>
        <w:pStyle w:val="22"/>
        <w:ind w:firstLine="480"/>
        <w:rPr>
          <w:rFonts w:hint="default"/>
        </w:rPr>
      </w:pPr>
      <w:r>
        <w:t>1.具有独立承担民事责任的能力；</w:t>
      </w:r>
    </w:p>
    <w:p w14:paraId="7EAE9B38">
      <w:pPr>
        <w:pStyle w:val="22"/>
        <w:ind w:firstLine="480"/>
        <w:rPr>
          <w:rFonts w:hint="default"/>
        </w:rPr>
      </w:pPr>
      <w:r>
        <w:t xml:space="preserve">2.具有良好的商业信誉和健全的财务会计制度； </w:t>
      </w:r>
    </w:p>
    <w:p w14:paraId="6992AFAB">
      <w:pPr>
        <w:pStyle w:val="22"/>
        <w:ind w:firstLine="480"/>
        <w:rPr>
          <w:rFonts w:hint="default"/>
        </w:rPr>
      </w:pPr>
      <w:r>
        <w:t>3.具有履行合同所必需的设备和专业技术能力；</w:t>
      </w:r>
    </w:p>
    <w:p w14:paraId="4BD7D2AC">
      <w:pPr>
        <w:pStyle w:val="22"/>
        <w:ind w:firstLine="480"/>
        <w:rPr>
          <w:rFonts w:hint="default"/>
        </w:rPr>
      </w:pPr>
      <w:r>
        <w:t>4.有依法缴纳税收和社会保障资金的良好记录；</w:t>
      </w:r>
    </w:p>
    <w:p w14:paraId="4FC136E0">
      <w:pPr>
        <w:pStyle w:val="22"/>
        <w:ind w:firstLine="480"/>
        <w:rPr>
          <w:rFonts w:hint="default"/>
        </w:rPr>
      </w:pPr>
      <w:r>
        <w:t>5.参加政府采购活动前三年内，在经营活动中没有重大违法记录；</w:t>
      </w:r>
    </w:p>
    <w:p w14:paraId="4CC354AF">
      <w:pPr>
        <w:pStyle w:val="22"/>
        <w:ind w:firstLine="480"/>
        <w:rPr>
          <w:rFonts w:hint="default"/>
        </w:rPr>
      </w:pPr>
      <w:r>
        <w:t>6.具有法律、行政法规规定的其他条件。</w:t>
      </w:r>
    </w:p>
    <w:p w14:paraId="664C9757">
      <w:pPr>
        <w:pStyle w:val="22"/>
        <w:ind w:firstLine="480"/>
        <w:rPr>
          <w:rFonts w:hint="default"/>
        </w:rPr>
      </w:pPr>
      <w:r>
        <w:t>（二）我方未被信用中国（www.creditchina.gov.cn）、中国政府采购网（www.ccgp.gov.cn）列入失信被执行人、重大税收违法案件当事人名单、政府采购严重违法失信行为记录名单。</w:t>
      </w:r>
    </w:p>
    <w:p w14:paraId="4AAE5B68">
      <w:pPr>
        <w:pStyle w:val="22"/>
        <w:ind w:firstLine="480"/>
        <w:rPr>
          <w:rFonts w:hint="default"/>
        </w:rPr>
      </w:pPr>
      <w:r>
        <w:t>（三）我方不存在以下情况：</w:t>
      </w:r>
    </w:p>
    <w:p w14:paraId="049E9531">
      <w:pPr>
        <w:pStyle w:val="22"/>
        <w:ind w:firstLine="480"/>
        <w:rPr>
          <w:rFonts w:hint="default"/>
        </w:rPr>
      </w:pPr>
      <w:r>
        <w:t>1.单位负责人为同一人或者存在直接控股、管理关系的不同供应商参加同一合同项下的政府采购活动的；</w:t>
      </w:r>
    </w:p>
    <w:p w14:paraId="1157E879">
      <w:pPr>
        <w:pStyle w:val="22"/>
        <w:ind w:firstLine="480"/>
        <w:rPr>
          <w:rFonts w:hint="default"/>
        </w:rPr>
      </w:pPr>
      <w:r>
        <w:t>2.为采购项目提供整体设计、规范编制或者项目管理、监理、检测等服务后再参加该采购项目的其他采购活动。</w:t>
      </w:r>
    </w:p>
    <w:p w14:paraId="6917BB5C">
      <w:pPr>
        <w:pStyle w:val="22"/>
        <w:ind w:firstLine="480"/>
        <w:rPr>
          <w:rFonts w:hint="default"/>
        </w:rPr>
      </w:pPr>
      <w:r>
        <w:t>以上事项如有虚假或隐瞒，我方愿意承担一切后果和责任。</w:t>
      </w:r>
    </w:p>
    <w:p w14:paraId="7354CAE3">
      <w:pPr>
        <w:pStyle w:val="22"/>
        <w:ind w:firstLine="480"/>
        <w:rPr>
          <w:rFonts w:hint="default"/>
        </w:rPr>
      </w:pPr>
    </w:p>
    <w:p w14:paraId="0DDE8DDC">
      <w:pPr>
        <w:pStyle w:val="22"/>
        <w:ind w:firstLine="480"/>
        <w:rPr>
          <w:rFonts w:hint="default"/>
        </w:rPr>
      </w:pPr>
      <w:r>
        <w:t>法定代表人或授权委托人签字：</w:t>
      </w:r>
    </w:p>
    <w:p w14:paraId="6B3DEF3B">
      <w:pPr>
        <w:pStyle w:val="22"/>
        <w:ind w:firstLine="480"/>
        <w:rPr>
          <w:rFonts w:hint="default"/>
        </w:rPr>
      </w:pPr>
    </w:p>
    <w:p w14:paraId="09DD8EE3">
      <w:pPr>
        <w:pStyle w:val="22"/>
        <w:ind w:firstLine="480"/>
        <w:rPr>
          <w:rFonts w:hint="default"/>
        </w:rPr>
      </w:pPr>
      <w:r>
        <w:t>供应商全称公章：</w:t>
      </w:r>
    </w:p>
    <w:p w14:paraId="3A0B8B05">
      <w:pPr>
        <w:pStyle w:val="22"/>
        <w:ind w:firstLine="480"/>
        <w:rPr>
          <w:rFonts w:hint="default"/>
        </w:rPr>
      </w:pPr>
    </w:p>
    <w:p w14:paraId="761EECC6">
      <w:pPr>
        <w:pStyle w:val="22"/>
        <w:ind w:firstLine="480"/>
        <w:rPr>
          <w:rFonts w:hint="default"/>
          <w:szCs w:val="22"/>
        </w:rPr>
      </w:pPr>
      <w:r>
        <w:t>日期：     年   月   日</w:t>
      </w:r>
      <w:r>
        <w:rPr>
          <w:szCs w:val="22"/>
        </w:rPr>
        <w:br w:type="page"/>
      </w:r>
    </w:p>
    <w:p w14:paraId="64C0FFE2">
      <w:pPr>
        <w:jc w:val="left"/>
        <w:rPr>
          <w:rFonts w:hint="eastAsia" w:ascii="宋体" w:hAnsi="宋体" w:eastAsia="宋体" w:cs="宋体"/>
          <w:sz w:val="24"/>
          <w:lang w:eastAsia="zh-CN"/>
        </w:rPr>
      </w:pPr>
      <w:bookmarkStart w:id="0" w:name="附录4"/>
      <w:r>
        <w:rPr>
          <w:rFonts w:hint="eastAsia" w:ascii="Times New Roman" w:hAnsi="Times New Roman" w:eastAsia="宋体" w:cs="Times New Roman"/>
          <w:sz w:val="28"/>
          <w:szCs w:val="28"/>
        </w:rPr>
        <w:t>附件</w:t>
      </w:r>
      <w:bookmarkEnd w:id="0"/>
      <w:r>
        <w:rPr>
          <w:rFonts w:hint="eastAsia" w:ascii="Times New Roman" w:hAnsi="Times New Roman" w:eastAsia="宋体" w:cs="Times New Roman"/>
          <w:sz w:val="28"/>
          <w:szCs w:val="28"/>
          <w:lang w:val="en-US" w:eastAsia="zh-CN"/>
        </w:rPr>
        <w:t>2</w:t>
      </w:r>
    </w:p>
    <w:p w14:paraId="5DAB6741">
      <w:pPr>
        <w:ind w:firstLine="480"/>
        <w:jc w:val="right"/>
        <w:rPr>
          <w:rFonts w:ascii="Times New Roman" w:hAnsi="Times New Roman" w:eastAsia="宋体" w:cs="Times New Roman"/>
          <w:sz w:val="40"/>
          <w:szCs w:val="36"/>
        </w:rPr>
      </w:pPr>
      <w:r>
        <w:rPr>
          <w:rFonts w:hint="eastAsia" w:ascii="Times New Roman" w:hAnsi="Times New Roman" w:eastAsia="宋体" w:cs="Times New Roman"/>
          <w:sz w:val="40"/>
          <w:szCs w:val="36"/>
        </w:rPr>
        <w:t>正本/副本</w:t>
      </w:r>
    </w:p>
    <w:p w14:paraId="5C079E37">
      <w:pPr>
        <w:jc w:val="left"/>
        <w:rPr>
          <w:rFonts w:ascii="Times New Roman" w:hAnsi="Times New Roman" w:eastAsia="宋体" w:cs="Times New Roman"/>
          <w:sz w:val="96"/>
          <w:szCs w:val="72"/>
        </w:rPr>
      </w:pPr>
    </w:p>
    <w:p w14:paraId="1DE885E6">
      <w:pPr>
        <w:jc w:val="left"/>
        <w:rPr>
          <w:rFonts w:ascii="Times New Roman" w:hAnsi="Times New Roman" w:eastAsia="宋体" w:cs="Times New Roman"/>
          <w:sz w:val="96"/>
          <w:szCs w:val="72"/>
        </w:rPr>
      </w:pPr>
    </w:p>
    <w:p w14:paraId="4BAA617B">
      <w:pPr>
        <w:jc w:val="center"/>
        <w:outlineLvl w:val="0"/>
        <w:rPr>
          <w:rFonts w:ascii="Times New Roman" w:hAnsi="Times New Roman" w:eastAsia="宋体" w:cs="Times New Roman"/>
          <w:sz w:val="96"/>
          <w:szCs w:val="72"/>
        </w:rPr>
      </w:pPr>
      <w:r>
        <w:rPr>
          <w:rFonts w:hint="eastAsia" w:ascii="Times New Roman" w:hAnsi="Times New Roman" w:eastAsia="宋体" w:cs="Times New Roman"/>
          <w:sz w:val="96"/>
          <w:szCs w:val="72"/>
        </w:rPr>
        <w:t>技术商务文件</w:t>
      </w:r>
    </w:p>
    <w:p w14:paraId="46D4CA12">
      <w:pPr>
        <w:jc w:val="left"/>
        <w:rPr>
          <w:rFonts w:ascii="Times New Roman" w:hAnsi="Times New Roman" w:eastAsia="宋体" w:cs="Times New Roman"/>
          <w:sz w:val="96"/>
          <w:szCs w:val="72"/>
        </w:rPr>
      </w:pPr>
    </w:p>
    <w:p w14:paraId="44E47229">
      <w:pPr>
        <w:rPr>
          <w:rFonts w:ascii="Times New Roman" w:hAnsi="Times New Roman" w:eastAsia="宋体" w:cs="Times New Roman"/>
          <w:sz w:val="96"/>
          <w:szCs w:val="72"/>
        </w:rPr>
      </w:pPr>
    </w:p>
    <w:p w14:paraId="7871CAD3">
      <w:pPr>
        <w:pStyle w:val="8"/>
        <w:ind w:firstLine="280"/>
      </w:pPr>
    </w:p>
    <w:p w14:paraId="5E4DC5F2">
      <w:pPr>
        <w:pStyle w:val="8"/>
        <w:ind w:firstLine="280"/>
      </w:pPr>
      <w:r>
        <w:rPr>
          <w:rFonts w:hint="eastAsia"/>
        </w:rPr>
        <w:t>项目名称：</w:t>
      </w:r>
    </w:p>
    <w:p w14:paraId="493C8661">
      <w:pPr>
        <w:pStyle w:val="8"/>
        <w:ind w:firstLine="280"/>
      </w:pPr>
      <w:r>
        <w:rPr>
          <w:rFonts w:hint="eastAsia"/>
        </w:rPr>
        <w:t>项目编号：</w:t>
      </w:r>
    </w:p>
    <w:p w14:paraId="66A3D427">
      <w:pPr>
        <w:pStyle w:val="8"/>
        <w:ind w:firstLine="280"/>
      </w:pPr>
      <w:r>
        <w:rPr>
          <w:rFonts w:hint="eastAsia"/>
        </w:rPr>
        <w:t>投标人名称：</w:t>
      </w:r>
    </w:p>
    <w:p w14:paraId="78FF6918">
      <w:pPr>
        <w:pStyle w:val="8"/>
        <w:ind w:firstLine="280"/>
      </w:pPr>
      <w:r>
        <w:rPr>
          <w:rFonts w:hint="eastAsia"/>
        </w:rPr>
        <w:t>投标人地址：</w:t>
      </w:r>
    </w:p>
    <w:p w14:paraId="7C3D6C61">
      <w:pPr>
        <w:pStyle w:val="8"/>
        <w:ind w:firstLine="280"/>
      </w:pPr>
      <w:r>
        <w:rPr>
          <w:rFonts w:hint="eastAsia"/>
        </w:rPr>
        <w:t>在    年    月    日    时    分之前不得启封</w:t>
      </w:r>
    </w:p>
    <w:p w14:paraId="584078D3">
      <w:pPr>
        <w:jc w:val="center"/>
        <w:rPr>
          <w:rFonts w:ascii="Times New Roman" w:hAnsi="Times New Roman" w:eastAsia="宋体" w:cs="Times New Roman"/>
          <w:sz w:val="28"/>
        </w:rPr>
      </w:pPr>
    </w:p>
    <w:p w14:paraId="0550F7B0">
      <w:pPr>
        <w:jc w:val="center"/>
        <w:rPr>
          <w:rFonts w:ascii="Times New Roman" w:hAnsi="Times New Roman" w:eastAsia="宋体" w:cs="Times New Roman"/>
          <w:sz w:val="28"/>
        </w:rPr>
      </w:pPr>
    </w:p>
    <w:p w14:paraId="1C311C39">
      <w:pPr>
        <w:ind w:firstLine="480"/>
        <w:jc w:val="right"/>
        <w:rPr>
          <w:rFonts w:ascii="Times New Roman" w:hAnsi="Times New Roman" w:eastAsia="仿宋" w:cs="Times New Roman"/>
          <w:b/>
          <w:sz w:val="30"/>
          <w:szCs w:val="22"/>
        </w:rPr>
      </w:pPr>
      <w:r>
        <w:rPr>
          <w:rFonts w:hint="eastAsia" w:ascii="Times New Roman" w:hAnsi="Times New Roman" w:eastAsia="宋体" w:cs="Times New Roman"/>
          <w:sz w:val="28"/>
        </w:rPr>
        <w:t>年  月  日</w:t>
      </w:r>
    </w:p>
    <w:p w14:paraId="1669B83E">
      <w:pPr>
        <w:rPr>
          <w:rFonts w:ascii="Times New Roman" w:hAnsi="Times New Roman" w:eastAsia="仿宋" w:cs="Times New Roman"/>
          <w:b/>
          <w:sz w:val="30"/>
          <w:szCs w:val="22"/>
        </w:rPr>
      </w:pPr>
      <w:r>
        <w:rPr>
          <w:rFonts w:hint="eastAsia" w:ascii="Times New Roman" w:hAnsi="Times New Roman" w:eastAsia="仿宋" w:cs="Times New Roman"/>
          <w:b/>
          <w:sz w:val="30"/>
          <w:szCs w:val="22"/>
        </w:rPr>
        <w:br w:type="page"/>
      </w:r>
    </w:p>
    <w:p w14:paraId="732A5E25">
      <w:pPr>
        <w:numPr>
          <w:ilvl w:val="0"/>
          <w:numId w:val="14"/>
        </w:numPr>
        <w:jc w:val="left"/>
        <w:outlineLvl w:val="2"/>
        <w:rPr>
          <w:rFonts w:ascii="Times New Roman" w:hAnsi="Times New Roman" w:eastAsia="仿宋" w:cs="Times New Roman"/>
          <w:b/>
          <w:sz w:val="30"/>
          <w:szCs w:val="22"/>
        </w:rPr>
      </w:pPr>
      <w:r>
        <w:rPr>
          <w:rFonts w:hint="eastAsia" w:ascii="Times New Roman" w:hAnsi="Times New Roman" w:eastAsia="仿宋" w:cs="Times New Roman"/>
          <w:b/>
          <w:sz w:val="30"/>
          <w:szCs w:val="22"/>
        </w:rPr>
        <w:t>评分索引表</w:t>
      </w:r>
    </w:p>
    <w:p w14:paraId="5B61F9AE">
      <w:pPr>
        <w:spacing w:line="360" w:lineRule="auto"/>
        <w:rPr>
          <w:sz w:val="24"/>
        </w:rPr>
      </w:pPr>
    </w:p>
    <w:p w14:paraId="07FC3344">
      <w:pPr>
        <w:spacing w:line="360" w:lineRule="auto"/>
        <w:rPr>
          <w:sz w:val="24"/>
        </w:rPr>
      </w:pPr>
      <w:r>
        <w:rPr>
          <w:rFonts w:hint="eastAsia"/>
          <w:sz w:val="24"/>
          <w:lang w:val="en-US" w:eastAsia="zh-CN"/>
        </w:rPr>
        <w:t>项目</w:t>
      </w:r>
      <w:r>
        <w:rPr>
          <w:rFonts w:hint="eastAsia"/>
          <w:sz w:val="24"/>
        </w:rPr>
        <w:t>名称：</w:t>
      </w:r>
    </w:p>
    <w:p w14:paraId="61E4D8EE">
      <w:pPr>
        <w:spacing w:line="360" w:lineRule="auto"/>
        <w:rPr>
          <w:rFonts w:hint="eastAsia"/>
          <w:sz w:val="24"/>
        </w:rPr>
      </w:pPr>
      <w:r>
        <w:rPr>
          <w:rFonts w:hint="eastAsia"/>
          <w:sz w:val="24"/>
          <w:lang w:val="en-US" w:eastAsia="zh-CN"/>
        </w:rPr>
        <w:t>项目</w:t>
      </w:r>
      <w:r>
        <w:rPr>
          <w:rFonts w:hint="eastAsia"/>
          <w:sz w:val="24"/>
        </w:rPr>
        <w:t>编号：</w:t>
      </w:r>
    </w:p>
    <w:tbl>
      <w:tblPr>
        <w:tblStyle w:val="15"/>
        <w:tblW w:w="905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7"/>
        <w:gridCol w:w="3571"/>
        <w:gridCol w:w="2055"/>
        <w:gridCol w:w="1035"/>
        <w:gridCol w:w="1577"/>
      </w:tblGrid>
      <w:tr w14:paraId="21673E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817" w:type="dxa"/>
            <w:tcBorders>
              <w:top w:val="single" w:color="auto" w:sz="4" w:space="0"/>
              <w:bottom w:val="single" w:color="auto" w:sz="4" w:space="0"/>
              <w:right w:val="single" w:color="auto" w:sz="4" w:space="0"/>
            </w:tcBorders>
            <w:vAlign w:val="center"/>
          </w:tcPr>
          <w:p w14:paraId="37A189AD">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rPr>
            </w:pPr>
            <w:r>
              <w:rPr>
                <w:rFonts w:hint="eastAsia" w:ascii="Times New Roman" w:hAnsi="Times New Roman" w:eastAsia="宋体" w:cs="Times New Roman"/>
                <w:szCs w:val="21"/>
              </w:rPr>
              <w:t>序号</w:t>
            </w:r>
          </w:p>
        </w:tc>
        <w:tc>
          <w:tcPr>
            <w:tcW w:w="3571" w:type="dxa"/>
            <w:tcBorders>
              <w:top w:val="single" w:color="auto" w:sz="4" w:space="0"/>
              <w:bottom w:val="single" w:color="auto" w:sz="4" w:space="0"/>
              <w:right w:val="single" w:color="auto" w:sz="4" w:space="0"/>
            </w:tcBorders>
            <w:vAlign w:val="center"/>
          </w:tcPr>
          <w:p w14:paraId="114A5D2F">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rPr>
            </w:pPr>
            <w:r>
              <w:rPr>
                <w:rFonts w:hint="eastAsia" w:ascii="Times New Roman" w:hAnsi="Times New Roman" w:eastAsia="宋体" w:cs="Times New Roman"/>
                <w:szCs w:val="21"/>
              </w:rPr>
              <w:t>评分项目</w:t>
            </w:r>
          </w:p>
        </w:tc>
        <w:tc>
          <w:tcPr>
            <w:tcW w:w="2055" w:type="dxa"/>
            <w:tcBorders>
              <w:top w:val="single" w:color="auto" w:sz="4" w:space="0"/>
              <w:left w:val="single" w:color="auto" w:sz="4" w:space="0"/>
              <w:bottom w:val="single" w:color="auto" w:sz="4" w:space="0"/>
              <w:right w:val="single" w:color="auto" w:sz="4" w:space="0"/>
            </w:tcBorders>
            <w:vAlign w:val="center"/>
          </w:tcPr>
          <w:p w14:paraId="58740E1A">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rPr>
            </w:pPr>
            <w:r>
              <w:rPr>
                <w:rFonts w:hint="eastAsia" w:ascii="Times New Roman" w:hAnsi="Times New Roman" w:eastAsia="宋体" w:cs="Times New Roman"/>
                <w:szCs w:val="21"/>
              </w:rPr>
              <w:t>响应文件对应资料</w:t>
            </w:r>
          </w:p>
        </w:tc>
        <w:tc>
          <w:tcPr>
            <w:tcW w:w="1035" w:type="dxa"/>
            <w:tcBorders>
              <w:top w:val="single" w:color="auto" w:sz="4" w:space="0"/>
              <w:left w:val="single" w:color="auto" w:sz="4" w:space="0"/>
              <w:bottom w:val="single" w:color="auto" w:sz="4" w:space="0"/>
              <w:right w:val="single" w:color="auto" w:sz="4" w:space="0"/>
            </w:tcBorders>
            <w:vAlign w:val="center"/>
          </w:tcPr>
          <w:p w14:paraId="30D133A7">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rPr>
            </w:pPr>
            <w:r>
              <w:rPr>
                <w:rFonts w:hint="eastAsia" w:ascii="Times New Roman" w:hAnsi="Times New Roman" w:eastAsia="宋体" w:cs="Times New Roman"/>
                <w:szCs w:val="21"/>
              </w:rPr>
              <w:t>自评分</w:t>
            </w:r>
          </w:p>
        </w:tc>
        <w:tc>
          <w:tcPr>
            <w:tcW w:w="1577" w:type="dxa"/>
            <w:tcBorders>
              <w:top w:val="single" w:color="auto" w:sz="4" w:space="0"/>
              <w:left w:val="single" w:color="auto" w:sz="4" w:space="0"/>
              <w:bottom w:val="single" w:color="auto" w:sz="4" w:space="0"/>
            </w:tcBorders>
            <w:vAlign w:val="center"/>
          </w:tcPr>
          <w:p w14:paraId="28826F93">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rPr>
            </w:pPr>
            <w:r>
              <w:rPr>
                <w:rFonts w:hint="eastAsia" w:ascii="Times New Roman" w:hAnsi="Times New Roman" w:eastAsia="宋体" w:cs="Times New Roman"/>
                <w:szCs w:val="21"/>
              </w:rPr>
              <w:t>响应文件页码</w:t>
            </w:r>
          </w:p>
        </w:tc>
      </w:tr>
      <w:tr w14:paraId="0AFBE9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68" w:hRule="atLeast"/>
        </w:trPr>
        <w:tc>
          <w:tcPr>
            <w:tcW w:w="817" w:type="dxa"/>
            <w:tcBorders>
              <w:top w:val="single" w:color="auto" w:sz="4" w:space="0"/>
              <w:bottom w:val="single" w:color="auto" w:sz="4" w:space="0"/>
              <w:right w:val="single" w:color="auto" w:sz="4" w:space="0"/>
            </w:tcBorders>
            <w:vAlign w:val="center"/>
          </w:tcPr>
          <w:p w14:paraId="52829E9E">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rPr>
            </w:pPr>
          </w:p>
        </w:tc>
        <w:tc>
          <w:tcPr>
            <w:tcW w:w="3571" w:type="dxa"/>
            <w:tcBorders>
              <w:top w:val="single" w:color="auto" w:sz="4" w:space="0"/>
              <w:bottom w:val="single" w:color="auto" w:sz="4" w:space="0"/>
              <w:right w:val="single" w:color="auto" w:sz="4" w:space="0"/>
            </w:tcBorders>
            <w:vAlign w:val="center"/>
          </w:tcPr>
          <w:p w14:paraId="54E8E98B">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rPr>
            </w:pPr>
            <w:r>
              <w:rPr>
                <w:rFonts w:hint="eastAsia" w:ascii="Times New Roman" w:hAnsi="Times New Roman" w:eastAsia="宋体" w:cs="Times New Roman"/>
                <w:szCs w:val="21"/>
              </w:rPr>
              <w:t>对应技术商务评分表</w:t>
            </w:r>
          </w:p>
          <w:p w14:paraId="5F8369EC">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rPr>
            </w:pPr>
            <w:r>
              <w:rPr>
                <w:rFonts w:hint="eastAsia" w:ascii="Times New Roman" w:hAnsi="Times New Roman" w:eastAsia="宋体" w:cs="Times New Roman"/>
                <w:szCs w:val="21"/>
              </w:rPr>
              <w:t>（报价除外）</w:t>
            </w:r>
          </w:p>
        </w:tc>
        <w:tc>
          <w:tcPr>
            <w:tcW w:w="2055" w:type="dxa"/>
            <w:tcBorders>
              <w:top w:val="single" w:color="auto" w:sz="4" w:space="0"/>
              <w:left w:val="single" w:color="auto" w:sz="4" w:space="0"/>
              <w:bottom w:val="single" w:color="auto" w:sz="4" w:space="0"/>
              <w:right w:val="single" w:color="auto" w:sz="4" w:space="0"/>
            </w:tcBorders>
            <w:vAlign w:val="center"/>
          </w:tcPr>
          <w:p w14:paraId="22F41290">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c>
          <w:tcPr>
            <w:tcW w:w="1035" w:type="dxa"/>
            <w:tcBorders>
              <w:top w:val="single" w:color="auto" w:sz="4" w:space="0"/>
              <w:left w:val="single" w:color="auto" w:sz="4" w:space="0"/>
              <w:bottom w:val="single" w:color="auto" w:sz="4" w:space="0"/>
              <w:right w:val="single" w:color="auto" w:sz="4" w:space="0"/>
            </w:tcBorders>
            <w:vAlign w:val="center"/>
          </w:tcPr>
          <w:p w14:paraId="6C30C9E3">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c>
          <w:tcPr>
            <w:tcW w:w="1577" w:type="dxa"/>
            <w:tcBorders>
              <w:top w:val="single" w:color="auto" w:sz="4" w:space="0"/>
              <w:left w:val="single" w:color="auto" w:sz="4" w:space="0"/>
              <w:bottom w:val="single" w:color="auto" w:sz="4" w:space="0"/>
            </w:tcBorders>
            <w:vAlign w:val="center"/>
          </w:tcPr>
          <w:p w14:paraId="6136A8A1">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r>
      <w:tr w14:paraId="11D2CA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817" w:type="dxa"/>
            <w:tcBorders>
              <w:top w:val="single" w:color="auto" w:sz="4" w:space="0"/>
              <w:bottom w:val="single" w:color="auto" w:sz="4" w:space="0"/>
              <w:right w:val="single" w:color="auto" w:sz="4" w:space="0"/>
            </w:tcBorders>
            <w:vAlign w:val="center"/>
          </w:tcPr>
          <w:p w14:paraId="6588B17B">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rPr>
            </w:pPr>
          </w:p>
        </w:tc>
        <w:tc>
          <w:tcPr>
            <w:tcW w:w="3571" w:type="dxa"/>
            <w:tcBorders>
              <w:top w:val="single" w:color="auto" w:sz="4" w:space="0"/>
              <w:bottom w:val="single" w:color="auto" w:sz="4" w:space="0"/>
              <w:right w:val="single" w:color="auto" w:sz="4" w:space="0"/>
            </w:tcBorders>
            <w:vAlign w:val="center"/>
          </w:tcPr>
          <w:p w14:paraId="69B26A97">
            <w:pPr>
              <w:keepNext w:val="0"/>
              <w:keepLines w:val="0"/>
              <w:suppressLineNumbers w:val="0"/>
              <w:tabs>
                <w:tab w:val="left" w:pos="2996"/>
              </w:tabs>
              <w:spacing w:before="0" w:beforeAutospacing="0" w:after="0" w:afterAutospacing="0" w:line="540" w:lineRule="exact"/>
              <w:ind w:left="0" w:right="0"/>
              <w:jc w:val="center"/>
              <w:rPr>
                <w:rFonts w:hint="default" w:ascii="Times New Roman" w:hAnsi="Times New Roman" w:eastAsia="宋体" w:cs="Times New Roman"/>
                <w:szCs w:val="21"/>
              </w:rPr>
            </w:pPr>
            <w:r>
              <w:rPr>
                <w:rFonts w:hint="eastAsia" w:ascii="Times New Roman" w:hAnsi="Times New Roman" w:eastAsia="宋体" w:cs="Times New Roman"/>
                <w:szCs w:val="21"/>
              </w:rPr>
              <w:t>……</w:t>
            </w:r>
          </w:p>
        </w:tc>
        <w:tc>
          <w:tcPr>
            <w:tcW w:w="2055" w:type="dxa"/>
            <w:tcBorders>
              <w:top w:val="single" w:color="auto" w:sz="4" w:space="0"/>
              <w:left w:val="single" w:color="auto" w:sz="4" w:space="0"/>
              <w:bottom w:val="single" w:color="auto" w:sz="4" w:space="0"/>
              <w:right w:val="single" w:color="auto" w:sz="4" w:space="0"/>
            </w:tcBorders>
            <w:vAlign w:val="center"/>
          </w:tcPr>
          <w:p w14:paraId="49438BE8">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c>
          <w:tcPr>
            <w:tcW w:w="1035" w:type="dxa"/>
            <w:tcBorders>
              <w:top w:val="single" w:color="auto" w:sz="4" w:space="0"/>
              <w:left w:val="single" w:color="auto" w:sz="4" w:space="0"/>
              <w:bottom w:val="single" w:color="auto" w:sz="4" w:space="0"/>
              <w:right w:val="single" w:color="auto" w:sz="4" w:space="0"/>
            </w:tcBorders>
            <w:vAlign w:val="center"/>
          </w:tcPr>
          <w:p w14:paraId="3FCFE466">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c>
          <w:tcPr>
            <w:tcW w:w="1577" w:type="dxa"/>
            <w:tcBorders>
              <w:top w:val="single" w:color="auto" w:sz="4" w:space="0"/>
              <w:left w:val="single" w:color="auto" w:sz="4" w:space="0"/>
              <w:bottom w:val="single" w:color="auto" w:sz="4" w:space="0"/>
            </w:tcBorders>
            <w:vAlign w:val="center"/>
          </w:tcPr>
          <w:p w14:paraId="719B4F78">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r>
      <w:tr w14:paraId="017B49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817" w:type="dxa"/>
            <w:tcBorders>
              <w:top w:val="single" w:color="auto" w:sz="4" w:space="0"/>
              <w:bottom w:val="single" w:color="auto" w:sz="4" w:space="0"/>
              <w:right w:val="single" w:color="auto" w:sz="4" w:space="0"/>
            </w:tcBorders>
            <w:vAlign w:val="center"/>
          </w:tcPr>
          <w:p w14:paraId="7CB3C299">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c>
          <w:tcPr>
            <w:tcW w:w="3571" w:type="dxa"/>
            <w:tcBorders>
              <w:top w:val="single" w:color="auto" w:sz="4" w:space="0"/>
              <w:bottom w:val="single" w:color="auto" w:sz="4" w:space="0"/>
              <w:right w:val="single" w:color="auto" w:sz="4" w:space="0"/>
            </w:tcBorders>
            <w:vAlign w:val="center"/>
          </w:tcPr>
          <w:p w14:paraId="5A2E1B4B">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c>
          <w:tcPr>
            <w:tcW w:w="2055" w:type="dxa"/>
            <w:tcBorders>
              <w:top w:val="single" w:color="auto" w:sz="4" w:space="0"/>
              <w:left w:val="single" w:color="auto" w:sz="4" w:space="0"/>
              <w:bottom w:val="single" w:color="auto" w:sz="4" w:space="0"/>
              <w:right w:val="single" w:color="auto" w:sz="4" w:space="0"/>
            </w:tcBorders>
            <w:vAlign w:val="center"/>
          </w:tcPr>
          <w:p w14:paraId="123CB1BC">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c>
          <w:tcPr>
            <w:tcW w:w="1035" w:type="dxa"/>
            <w:tcBorders>
              <w:top w:val="single" w:color="auto" w:sz="4" w:space="0"/>
              <w:left w:val="single" w:color="auto" w:sz="4" w:space="0"/>
              <w:bottom w:val="single" w:color="auto" w:sz="4" w:space="0"/>
              <w:right w:val="single" w:color="auto" w:sz="4" w:space="0"/>
            </w:tcBorders>
            <w:vAlign w:val="center"/>
          </w:tcPr>
          <w:p w14:paraId="5993183E">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c>
          <w:tcPr>
            <w:tcW w:w="1577" w:type="dxa"/>
            <w:tcBorders>
              <w:top w:val="single" w:color="auto" w:sz="4" w:space="0"/>
              <w:left w:val="single" w:color="auto" w:sz="4" w:space="0"/>
              <w:bottom w:val="single" w:color="auto" w:sz="4" w:space="0"/>
            </w:tcBorders>
            <w:vAlign w:val="center"/>
          </w:tcPr>
          <w:p w14:paraId="16453D93">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r>
      <w:tr w14:paraId="2E528C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817" w:type="dxa"/>
            <w:tcBorders>
              <w:top w:val="single" w:color="auto" w:sz="4" w:space="0"/>
              <w:bottom w:val="single" w:color="auto" w:sz="4" w:space="0"/>
              <w:right w:val="single" w:color="auto" w:sz="4" w:space="0"/>
            </w:tcBorders>
            <w:vAlign w:val="center"/>
          </w:tcPr>
          <w:p w14:paraId="434640FA">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c>
          <w:tcPr>
            <w:tcW w:w="3571" w:type="dxa"/>
            <w:tcBorders>
              <w:top w:val="single" w:color="auto" w:sz="4" w:space="0"/>
              <w:bottom w:val="single" w:color="auto" w:sz="4" w:space="0"/>
              <w:right w:val="single" w:color="auto" w:sz="4" w:space="0"/>
            </w:tcBorders>
            <w:vAlign w:val="center"/>
          </w:tcPr>
          <w:p w14:paraId="3A36D75E">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c>
          <w:tcPr>
            <w:tcW w:w="2055" w:type="dxa"/>
            <w:tcBorders>
              <w:top w:val="single" w:color="auto" w:sz="4" w:space="0"/>
              <w:left w:val="single" w:color="auto" w:sz="4" w:space="0"/>
              <w:bottom w:val="single" w:color="auto" w:sz="4" w:space="0"/>
              <w:right w:val="single" w:color="auto" w:sz="4" w:space="0"/>
            </w:tcBorders>
            <w:vAlign w:val="center"/>
          </w:tcPr>
          <w:p w14:paraId="4D355747">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c>
          <w:tcPr>
            <w:tcW w:w="1035" w:type="dxa"/>
            <w:tcBorders>
              <w:top w:val="single" w:color="auto" w:sz="4" w:space="0"/>
              <w:left w:val="single" w:color="auto" w:sz="4" w:space="0"/>
              <w:bottom w:val="single" w:color="auto" w:sz="4" w:space="0"/>
              <w:right w:val="single" w:color="auto" w:sz="4" w:space="0"/>
            </w:tcBorders>
            <w:vAlign w:val="center"/>
          </w:tcPr>
          <w:p w14:paraId="0795E404">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c>
          <w:tcPr>
            <w:tcW w:w="1577" w:type="dxa"/>
            <w:tcBorders>
              <w:top w:val="single" w:color="auto" w:sz="4" w:space="0"/>
              <w:left w:val="single" w:color="auto" w:sz="4" w:space="0"/>
              <w:bottom w:val="single" w:color="auto" w:sz="4" w:space="0"/>
            </w:tcBorders>
            <w:vAlign w:val="center"/>
          </w:tcPr>
          <w:p w14:paraId="1BA8E8EC">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r>
      <w:tr w14:paraId="0B595B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817" w:type="dxa"/>
            <w:tcBorders>
              <w:top w:val="single" w:color="auto" w:sz="4" w:space="0"/>
              <w:bottom w:val="single" w:color="auto" w:sz="4" w:space="0"/>
              <w:right w:val="single" w:color="auto" w:sz="4" w:space="0"/>
            </w:tcBorders>
            <w:vAlign w:val="center"/>
          </w:tcPr>
          <w:p w14:paraId="2DFB3FF7">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c>
          <w:tcPr>
            <w:tcW w:w="3571" w:type="dxa"/>
            <w:tcBorders>
              <w:top w:val="single" w:color="auto" w:sz="4" w:space="0"/>
              <w:bottom w:val="single" w:color="auto" w:sz="4" w:space="0"/>
              <w:right w:val="single" w:color="auto" w:sz="4" w:space="0"/>
            </w:tcBorders>
            <w:vAlign w:val="center"/>
          </w:tcPr>
          <w:p w14:paraId="18CAC3AA">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c>
          <w:tcPr>
            <w:tcW w:w="2055" w:type="dxa"/>
            <w:tcBorders>
              <w:top w:val="single" w:color="auto" w:sz="4" w:space="0"/>
              <w:left w:val="single" w:color="auto" w:sz="4" w:space="0"/>
              <w:bottom w:val="single" w:color="auto" w:sz="4" w:space="0"/>
              <w:right w:val="single" w:color="auto" w:sz="4" w:space="0"/>
            </w:tcBorders>
            <w:vAlign w:val="center"/>
          </w:tcPr>
          <w:p w14:paraId="27649D70">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c>
          <w:tcPr>
            <w:tcW w:w="1035" w:type="dxa"/>
            <w:tcBorders>
              <w:top w:val="single" w:color="auto" w:sz="4" w:space="0"/>
              <w:left w:val="single" w:color="auto" w:sz="4" w:space="0"/>
              <w:bottom w:val="single" w:color="auto" w:sz="4" w:space="0"/>
              <w:right w:val="single" w:color="auto" w:sz="4" w:space="0"/>
            </w:tcBorders>
            <w:vAlign w:val="center"/>
          </w:tcPr>
          <w:p w14:paraId="73F63917">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c>
          <w:tcPr>
            <w:tcW w:w="1577" w:type="dxa"/>
            <w:tcBorders>
              <w:top w:val="single" w:color="auto" w:sz="4" w:space="0"/>
              <w:left w:val="single" w:color="auto" w:sz="4" w:space="0"/>
              <w:bottom w:val="single" w:color="auto" w:sz="4" w:space="0"/>
            </w:tcBorders>
            <w:vAlign w:val="center"/>
          </w:tcPr>
          <w:p w14:paraId="236DDC84">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r>
      <w:tr w14:paraId="389902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817" w:type="dxa"/>
            <w:tcBorders>
              <w:top w:val="single" w:color="auto" w:sz="4" w:space="0"/>
              <w:bottom w:val="single" w:color="auto" w:sz="4" w:space="0"/>
              <w:right w:val="single" w:color="auto" w:sz="4" w:space="0"/>
            </w:tcBorders>
            <w:vAlign w:val="center"/>
          </w:tcPr>
          <w:p w14:paraId="4112D3F5">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c>
          <w:tcPr>
            <w:tcW w:w="3571" w:type="dxa"/>
            <w:tcBorders>
              <w:top w:val="single" w:color="auto" w:sz="4" w:space="0"/>
              <w:bottom w:val="single" w:color="auto" w:sz="4" w:space="0"/>
              <w:right w:val="single" w:color="auto" w:sz="4" w:space="0"/>
            </w:tcBorders>
            <w:vAlign w:val="center"/>
          </w:tcPr>
          <w:p w14:paraId="403E102A">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c>
          <w:tcPr>
            <w:tcW w:w="2055" w:type="dxa"/>
            <w:tcBorders>
              <w:top w:val="single" w:color="auto" w:sz="4" w:space="0"/>
              <w:left w:val="single" w:color="auto" w:sz="4" w:space="0"/>
              <w:bottom w:val="single" w:color="auto" w:sz="4" w:space="0"/>
              <w:right w:val="single" w:color="auto" w:sz="4" w:space="0"/>
            </w:tcBorders>
            <w:vAlign w:val="center"/>
          </w:tcPr>
          <w:p w14:paraId="5BE59750">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c>
          <w:tcPr>
            <w:tcW w:w="1035" w:type="dxa"/>
            <w:tcBorders>
              <w:top w:val="single" w:color="auto" w:sz="4" w:space="0"/>
              <w:left w:val="single" w:color="auto" w:sz="4" w:space="0"/>
              <w:bottom w:val="single" w:color="auto" w:sz="4" w:space="0"/>
              <w:right w:val="single" w:color="auto" w:sz="4" w:space="0"/>
            </w:tcBorders>
            <w:vAlign w:val="center"/>
          </w:tcPr>
          <w:p w14:paraId="0F28052A">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c>
          <w:tcPr>
            <w:tcW w:w="1577" w:type="dxa"/>
            <w:tcBorders>
              <w:top w:val="single" w:color="auto" w:sz="4" w:space="0"/>
              <w:left w:val="single" w:color="auto" w:sz="4" w:space="0"/>
              <w:bottom w:val="single" w:color="auto" w:sz="4" w:space="0"/>
            </w:tcBorders>
            <w:vAlign w:val="center"/>
          </w:tcPr>
          <w:p w14:paraId="079B9DA4">
            <w:pPr>
              <w:keepNext w:val="0"/>
              <w:keepLines w:val="0"/>
              <w:suppressLineNumbers w:val="0"/>
              <w:tabs>
                <w:tab w:val="left" w:pos="2996"/>
              </w:tabs>
              <w:spacing w:before="0" w:beforeAutospacing="0" w:after="0" w:afterAutospacing="0" w:line="540" w:lineRule="exact"/>
              <w:ind w:left="0" w:right="0" w:firstLine="480"/>
              <w:jc w:val="center"/>
              <w:rPr>
                <w:rFonts w:hint="default" w:ascii="Times New Roman" w:hAnsi="Times New Roman" w:eastAsia="宋体" w:cs="Times New Roman"/>
                <w:szCs w:val="21"/>
              </w:rPr>
            </w:pPr>
          </w:p>
        </w:tc>
      </w:tr>
    </w:tbl>
    <w:p w14:paraId="10909DD8">
      <w:pPr>
        <w:rPr>
          <w:rFonts w:ascii="Times New Roman" w:hAnsi="Times New Roman" w:eastAsia="宋体" w:cs="Times New Roman"/>
          <w:color w:val="000000"/>
        </w:rPr>
      </w:pPr>
    </w:p>
    <w:p w14:paraId="367DF7AC">
      <w:pPr>
        <w:rPr>
          <w:rFonts w:ascii="Times New Roman" w:hAnsi="Times New Roman" w:eastAsia="宋体" w:cs="Times New Roman"/>
          <w:color w:val="000000"/>
          <w:sz w:val="24"/>
        </w:rPr>
      </w:pPr>
    </w:p>
    <w:p w14:paraId="6DA69EB0">
      <w:pPr>
        <w:rPr>
          <w:rFonts w:ascii="Times New Roman" w:hAnsi="Times New Roman" w:eastAsia="宋体" w:cs="Times New Roman"/>
          <w:color w:val="000000"/>
          <w:sz w:val="24"/>
        </w:rPr>
      </w:pPr>
      <w:r>
        <w:rPr>
          <w:rFonts w:hint="eastAsia" w:ascii="Times New Roman" w:hAnsi="Times New Roman" w:eastAsia="宋体" w:cs="Times New Roman"/>
          <w:color w:val="000000"/>
          <w:sz w:val="24"/>
        </w:rPr>
        <w:t>法定代表人或授权委托人签字：</w:t>
      </w:r>
    </w:p>
    <w:p w14:paraId="4A746EB8">
      <w:pPr>
        <w:rPr>
          <w:rFonts w:ascii="Times New Roman" w:hAnsi="Times New Roman" w:eastAsia="宋体" w:cs="Times New Roman"/>
          <w:color w:val="000000"/>
          <w:sz w:val="24"/>
        </w:rPr>
      </w:pPr>
    </w:p>
    <w:p w14:paraId="16F04A33">
      <w:pPr>
        <w:rPr>
          <w:rFonts w:ascii="Times New Roman" w:hAnsi="Times New Roman" w:eastAsia="宋体" w:cs="Times New Roman"/>
          <w:color w:val="000000"/>
          <w:sz w:val="24"/>
        </w:rPr>
      </w:pPr>
    </w:p>
    <w:p w14:paraId="65ED2A88">
      <w:pPr>
        <w:rPr>
          <w:rFonts w:ascii="Times New Roman" w:hAnsi="Times New Roman" w:eastAsia="宋体" w:cs="Times New Roman"/>
          <w:color w:val="000000"/>
          <w:sz w:val="24"/>
        </w:rPr>
      </w:pPr>
    </w:p>
    <w:p w14:paraId="4ADE8716">
      <w:pPr>
        <w:rPr>
          <w:rFonts w:ascii="Times New Roman" w:hAnsi="Times New Roman" w:eastAsia="宋体" w:cs="Times New Roman"/>
          <w:color w:val="000000"/>
          <w:sz w:val="24"/>
        </w:rPr>
      </w:pPr>
      <w:r>
        <w:rPr>
          <w:rFonts w:hint="eastAsia" w:ascii="Times New Roman" w:hAnsi="Times New Roman" w:eastAsia="宋体" w:cs="Times New Roman"/>
          <w:color w:val="000000"/>
          <w:sz w:val="24"/>
        </w:rPr>
        <w:t>供应商全称公章：</w:t>
      </w:r>
    </w:p>
    <w:p w14:paraId="231F9BDF">
      <w:pPr>
        <w:spacing w:line="360" w:lineRule="auto"/>
        <w:rPr>
          <w:rFonts w:ascii="Times New Roman" w:hAnsi="Times New Roman" w:eastAsia="宋体" w:cs="Times New Roman"/>
          <w:sz w:val="24"/>
        </w:rPr>
      </w:pPr>
    </w:p>
    <w:p w14:paraId="3107FCE2">
      <w:pPr>
        <w:jc w:val="right"/>
        <w:rPr>
          <w:rFonts w:ascii="Times New Roman" w:hAnsi="Times New Roman" w:eastAsia="宋体" w:cs="Times New Roman"/>
          <w:sz w:val="24"/>
          <w:lang w:eastAsia="zh-Hans"/>
        </w:rPr>
      </w:pPr>
      <w:r>
        <w:rPr>
          <w:rFonts w:hint="eastAsia" w:ascii="Times New Roman" w:hAnsi="Times New Roman" w:eastAsia="宋体" w:cs="Times New Roman"/>
          <w:sz w:val="24"/>
          <w:lang w:eastAsia="zh-Hans"/>
        </w:rPr>
        <w:t xml:space="preserve">日期：    年  月  </w:t>
      </w:r>
      <w:r>
        <w:rPr>
          <w:rFonts w:hint="eastAsia" w:ascii="Times New Roman" w:hAnsi="Times New Roman" w:eastAsia="宋体" w:cs="Times New Roman"/>
          <w:sz w:val="24"/>
        </w:rPr>
        <w:t xml:space="preserve">  </w:t>
      </w:r>
      <w:r>
        <w:rPr>
          <w:rFonts w:hint="eastAsia" w:ascii="Times New Roman" w:hAnsi="Times New Roman" w:eastAsia="宋体" w:cs="Times New Roman"/>
          <w:sz w:val="24"/>
          <w:lang w:eastAsia="zh-Hans"/>
        </w:rPr>
        <w:t>日</w:t>
      </w:r>
    </w:p>
    <w:p w14:paraId="5E0B861B">
      <w:pPr>
        <w:numPr>
          <w:ilvl w:val="0"/>
          <w:numId w:val="14"/>
        </w:numPr>
        <w:jc w:val="left"/>
        <w:outlineLvl w:val="2"/>
        <w:rPr>
          <w:rFonts w:ascii="Times New Roman" w:hAnsi="Times New Roman" w:eastAsia="仿宋" w:cs="Times New Roman"/>
          <w:b/>
          <w:sz w:val="30"/>
          <w:szCs w:val="22"/>
        </w:rPr>
      </w:pPr>
      <w:r>
        <w:rPr>
          <w:rFonts w:hint="eastAsia" w:ascii="Times New Roman" w:hAnsi="Times New Roman" w:eastAsia="宋体" w:cs="Times New Roman"/>
          <w:szCs w:val="22"/>
          <w:lang w:eastAsia="zh-Hans"/>
        </w:rPr>
        <w:br w:type="page"/>
      </w:r>
      <w:r>
        <w:rPr>
          <w:rFonts w:hint="eastAsia" w:ascii="Times New Roman" w:hAnsi="Times New Roman" w:eastAsia="仿宋" w:cs="Times New Roman"/>
          <w:b/>
          <w:sz w:val="30"/>
          <w:szCs w:val="22"/>
        </w:rPr>
        <w:t>需求响应表</w:t>
      </w:r>
    </w:p>
    <w:p w14:paraId="5E29498A">
      <w:pPr>
        <w:spacing w:line="360" w:lineRule="auto"/>
        <w:rPr>
          <w:sz w:val="24"/>
        </w:rPr>
      </w:pPr>
    </w:p>
    <w:p w14:paraId="461B32D9">
      <w:pPr>
        <w:spacing w:line="360" w:lineRule="auto"/>
        <w:rPr>
          <w:sz w:val="24"/>
        </w:rPr>
      </w:pPr>
      <w:r>
        <w:rPr>
          <w:rFonts w:hint="eastAsia"/>
          <w:sz w:val="24"/>
          <w:lang w:val="en-US" w:eastAsia="zh-CN"/>
        </w:rPr>
        <w:t>项目</w:t>
      </w:r>
      <w:r>
        <w:rPr>
          <w:rFonts w:hint="eastAsia"/>
          <w:sz w:val="24"/>
        </w:rPr>
        <w:t>名称：</w:t>
      </w:r>
    </w:p>
    <w:p w14:paraId="26CFEF71">
      <w:pPr>
        <w:spacing w:line="360" w:lineRule="auto"/>
        <w:rPr>
          <w:rFonts w:hint="eastAsia"/>
          <w:sz w:val="24"/>
        </w:rPr>
      </w:pPr>
      <w:r>
        <w:rPr>
          <w:rFonts w:hint="eastAsia"/>
          <w:sz w:val="24"/>
          <w:lang w:val="en-US" w:eastAsia="zh-CN"/>
        </w:rPr>
        <w:t>项目</w:t>
      </w:r>
      <w:r>
        <w:rPr>
          <w:rFonts w:hint="eastAsia"/>
          <w:sz w:val="24"/>
        </w:rPr>
        <w:t>编号：</w:t>
      </w:r>
    </w:p>
    <w:tbl>
      <w:tblPr>
        <w:tblStyle w:val="15"/>
        <w:tblW w:w="9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9"/>
        <w:gridCol w:w="3157"/>
        <w:gridCol w:w="2264"/>
        <w:gridCol w:w="2285"/>
      </w:tblGrid>
      <w:tr w14:paraId="3E4DD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349" w:type="dxa"/>
            <w:tcBorders>
              <w:bottom w:val="single" w:color="auto" w:sz="4" w:space="0"/>
            </w:tcBorders>
            <w:vAlign w:val="center"/>
          </w:tcPr>
          <w:p w14:paraId="2139832D">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rPr>
            </w:pPr>
            <w:r>
              <w:rPr>
                <w:rFonts w:hint="eastAsia" w:ascii="Times New Roman" w:hAnsi="Times New Roman" w:eastAsia="Times New Roman" w:cs="Times New Roman"/>
                <w:kern w:val="0"/>
                <w:sz w:val="24"/>
              </w:rPr>
              <w:t>序号</w:t>
            </w:r>
          </w:p>
        </w:tc>
        <w:tc>
          <w:tcPr>
            <w:tcW w:w="3157" w:type="dxa"/>
            <w:tcBorders>
              <w:bottom w:val="single" w:color="auto" w:sz="4" w:space="0"/>
            </w:tcBorders>
            <w:vAlign w:val="center"/>
          </w:tcPr>
          <w:p w14:paraId="71BF555B">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rPr>
            </w:pPr>
            <w:r>
              <w:rPr>
                <w:rFonts w:hint="eastAsia" w:ascii="Times New Roman" w:hAnsi="Times New Roman" w:eastAsia="Times New Roman" w:cs="Times New Roman"/>
                <w:kern w:val="0"/>
                <w:sz w:val="24"/>
              </w:rPr>
              <w:t>招标文件要求</w:t>
            </w:r>
          </w:p>
        </w:tc>
        <w:tc>
          <w:tcPr>
            <w:tcW w:w="2264" w:type="dxa"/>
            <w:tcBorders>
              <w:bottom w:val="single" w:color="auto" w:sz="4" w:space="0"/>
            </w:tcBorders>
            <w:vAlign w:val="center"/>
          </w:tcPr>
          <w:p w14:paraId="2D0FD14A">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rPr>
            </w:pPr>
            <w:r>
              <w:rPr>
                <w:rFonts w:hint="eastAsia" w:ascii="Times New Roman" w:hAnsi="Times New Roman" w:eastAsia="Times New Roman" w:cs="Times New Roman"/>
                <w:kern w:val="0"/>
                <w:sz w:val="24"/>
              </w:rPr>
              <w:t>响应参数</w:t>
            </w:r>
          </w:p>
        </w:tc>
        <w:tc>
          <w:tcPr>
            <w:tcW w:w="2285" w:type="dxa"/>
            <w:tcBorders>
              <w:bottom w:val="single" w:color="auto" w:sz="4" w:space="0"/>
            </w:tcBorders>
            <w:vAlign w:val="center"/>
          </w:tcPr>
          <w:p w14:paraId="2CFEECE2">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rPr>
            </w:pPr>
            <w:r>
              <w:rPr>
                <w:rFonts w:hint="eastAsia" w:ascii="Times New Roman" w:hAnsi="Times New Roman" w:eastAsia="Times New Roman" w:cs="Times New Roman"/>
                <w:kern w:val="0"/>
                <w:sz w:val="24"/>
              </w:rPr>
              <w:t>偏离情况</w:t>
            </w:r>
          </w:p>
        </w:tc>
      </w:tr>
      <w:tr w14:paraId="0EBE8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9055" w:type="dxa"/>
            <w:gridSpan w:val="4"/>
            <w:tcBorders>
              <w:top w:val="single" w:color="auto" w:sz="4" w:space="0"/>
              <w:left w:val="single" w:color="auto" w:sz="4" w:space="0"/>
              <w:bottom w:val="single" w:color="auto" w:sz="4" w:space="0"/>
              <w:right w:val="single" w:color="auto" w:sz="4" w:space="0"/>
            </w:tcBorders>
            <w:vAlign w:val="center"/>
          </w:tcPr>
          <w:p w14:paraId="77D961FF">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kern w:val="0"/>
                <w:sz w:val="24"/>
              </w:rPr>
            </w:pPr>
            <w:r>
              <w:rPr>
                <w:rFonts w:hint="eastAsia" w:ascii="Times New Roman" w:hAnsi="Times New Roman" w:eastAsia="宋体" w:cs="Times New Roman"/>
                <w:kern w:val="0"/>
                <w:sz w:val="24"/>
              </w:rPr>
              <w:t>采购需求</w:t>
            </w:r>
          </w:p>
        </w:tc>
      </w:tr>
      <w:tr w14:paraId="2947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49" w:type="dxa"/>
            <w:tcBorders>
              <w:top w:val="single" w:color="auto" w:sz="4" w:space="0"/>
              <w:left w:val="single" w:color="auto" w:sz="4" w:space="0"/>
            </w:tcBorders>
            <w:vAlign w:val="center"/>
          </w:tcPr>
          <w:p w14:paraId="2ABC6558">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rPr>
            </w:pPr>
            <w:r>
              <w:rPr>
                <w:rFonts w:hint="default" w:ascii="Times New Roman" w:hAnsi="Times New Roman" w:eastAsia="Times New Roman" w:cs="Times New Roman"/>
                <w:kern w:val="0"/>
                <w:sz w:val="24"/>
              </w:rPr>
              <w:t>1</w:t>
            </w:r>
          </w:p>
        </w:tc>
        <w:tc>
          <w:tcPr>
            <w:tcW w:w="3157" w:type="dxa"/>
            <w:tcBorders>
              <w:top w:val="single" w:color="auto" w:sz="4" w:space="0"/>
            </w:tcBorders>
            <w:vAlign w:val="center"/>
          </w:tcPr>
          <w:p w14:paraId="2B64B9E2">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rPr>
            </w:pPr>
          </w:p>
        </w:tc>
        <w:tc>
          <w:tcPr>
            <w:tcW w:w="2264" w:type="dxa"/>
            <w:tcBorders>
              <w:top w:val="single" w:color="auto" w:sz="4" w:space="0"/>
            </w:tcBorders>
            <w:vAlign w:val="center"/>
          </w:tcPr>
          <w:p w14:paraId="48EF03E3">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rPr>
            </w:pPr>
          </w:p>
        </w:tc>
        <w:tc>
          <w:tcPr>
            <w:tcW w:w="2285" w:type="dxa"/>
            <w:tcBorders>
              <w:top w:val="single" w:color="auto" w:sz="4" w:space="0"/>
              <w:right w:val="single" w:color="auto" w:sz="4" w:space="0"/>
            </w:tcBorders>
            <w:vAlign w:val="center"/>
          </w:tcPr>
          <w:p w14:paraId="487B4B6C">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rPr>
            </w:pPr>
          </w:p>
        </w:tc>
      </w:tr>
      <w:tr w14:paraId="30BF6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49" w:type="dxa"/>
            <w:tcBorders>
              <w:left w:val="single" w:color="auto" w:sz="4" w:space="0"/>
            </w:tcBorders>
            <w:vAlign w:val="center"/>
          </w:tcPr>
          <w:p w14:paraId="47D78509">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rPr>
            </w:pPr>
            <w:r>
              <w:rPr>
                <w:rFonts w:hint="eastAsia" w:ascii="Times New Roman" w:hAnsi="Times New Roman" w:eastAsia="Times New Roman" w:cs="Times New Roman"/>
                <w:kern w:val="0"/>
                <w:sz w:val="24"/>
              </w:rPr>
              <w:t>2</w:t>
            </w:r>
          </w:p>
        </w:tc>
        <w:tc>
          <w:tcPr>
            <w:tcW w:w="3157" w:type="dxa"/>
            <w:vAlign w:val="center"/>
          </w:tcPr>
          <w:p w14:paraId="4A832D32">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rPr>
            </w:pPr>
          </w:p>
        </w:tc>
        <w:tc>
          <w:tcPr>
            <w:tcW w:w="2264" w:type="dxa"/>
            <w:vAlign w:val="center"/>
          </w:tcPr>
          <w:p w14:paraId="16F95F27">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rPr>
            </w:pPr>
          </w:p>
        </w:tc>
        <w:tc>
          <w:tcPr>
            <w:tcW w:w="2285" w:type="dxa"/>
            <w:tcBorders>
              <w:right w:val="single" w:color="auto" w:sz="4" w:space="0"/>
            </w:tcBorders>
            <w:vAlign w:val="center"/>
          </w:tcPr>
          <w:p w14:paraId="35010C29">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rPr>
            </w:pPr>
          </w:p>
        </w:tc>
      </w:tr>
      <w:tr w14:paraId="5426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49" w:type="dxa"/>
            <w:tcBorders>
              <w:left w:val="single" w:color="auto" w:sz="4" w:space="0"/>
            </w:tcBorders>
            <w:vAlign w:val="center"/>
          </w:tcPr>
          <w:p w14:paraId="33594DE9">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rPr>
            </w:pPr>
            <w:r>
              <w:rPr>
                <w:rFonts w:hint="eastAsia" w:ascii="Times New Roman" w:hAnsi="Times New Roman" w:eastAsia="Times New Roman" w:cs="Times New Roman"/>
                <w:kern w:val="0"/>
                <w:sz w:val="24"/>
              </w:rPr>
              <w:t>...</w:t>
            </w:r>
          </w:p>
        </w:tc>
        <w:tc>
          <w:tcPr>
            <w:tcW w:w="3157" w:type="dxa"/>
            <w:vAlign w:val="center"/>
          </w:tcPr>
          <w:p w14:paraId="5C48744A">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rPr>
            </w:pPr>
          </w:p>
        </w:tc>
        <w:tc>
          <w:tcPr>
            <w:tcW w:w="2264" w:type="dxa"/>
            <w:vAlign w:val="center"/>
          </w:tcPr>
          <w:p w14:paraId="006F9A0C">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rPr>
            </w:pPr>
          </w:p>
        </w:tc>
        <w:tc>
          <w:tcPr>
            <w:tcW w:w="2285" w:type="dxa"/>
            <w:tcBorders>
              <w:right w:val="single" w:color="auto" w:sz="4" w:space="0"/>
            </w:tcBorders>
            <w:vAlign w:val="center"/>
          </w:tcPr>
          <w:p w14:paraId="2DFF33BE">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rPr>
            </w:pPr>
          </w:p>
        </w:tc>
      </w:tr>
      <w:tr w14:paraId="568C8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49" w:type="dxa"/>
            <w:tcBorders>
              <w:left w:val="single" w:color="auto" w:sz="4" w:space="0"/>
              <w:bottom w:val="single" w:color="auto" w:sz="4" w:space="0"/>
            </w:tcBorders>
            <w:vAlign w:val="center"/>
          </w:tcPr>
          <w:p w14:paraId="4365B85A">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kern w:val="0"/>
                <w:sz w:val="24"/>
              </w:rPr>
            </w:pPr>
            <w:r>
              <w:rPr>
                <w:rFonts w:hint="eastAsia" w:ascii="Times New Roman" w:hAnsi="Times New Roman" w:eastAsia="宋体" w:cs="Times New Roman"/>
                <w:kern w:val="0"/>
                <w:sz w:val="24"/>
              </w:rPr>
              <w:t>...</w:t>
            </w:r>
          </w:p>
        </w:tc>
        <w:tc>
          <w:tcPr>
            <w:tcW w:w="3157" w:type="dxa"/>
            <w:tcBorders>
              <w:bottom w:val="single" w:color="auto" w:sz="4" w:space="0"/>
            </w:tcBorders>
            <w:vAlign w:val="center"/>
          </w:tcPr>
          <w:p w14:paraId="5739E0AE">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rPr>
            </w:pPr>
          </w:p>
        </w:tc>
        <w:tc>
          <w:tcPr>
            <w:tcW w:w="2264" w:type="dxa"/>
            <w:tcBorders>
              <w:bottom w:val="single" w:color="auto" w:sz="4" w:space="0"/>
            </w:tcBorders>
            <w:vAlign w:val="center"/>
          </w:tcPr>
          <w:p w14:paraId="67FC20FF">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rPr>
            </w:pPr>
          </w:p>
        </w:tc>
        <w:tc>
          <w:tcPr>
            <w:tcW w:w="2285" w:type="dxa"/>
            <w:tcBorders>
              <w:bottom w:val="single" w:color="auto" w:sz="4" w:space="0"/>
              <w:right w:val="single" w:color="auto" w:sz="4" w:space="0"/>
            </w:tcBorders>
            <w:vAlign w:val="center"/>
          </w:tcPr>
          <w:p w14:paraId="22A7723D">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rPr>
            </w:pPr>
          </w:p>
        </w:tc>
      </w:tr>
    </w:tbl>
    <w:p w14:paraId="259E9C25">
      <w:pPr>
        <w:pStyle w:val="22"/>
        <w:ind w:firstLine="480"/>
        <w:rPr>
          <w:rFonts w:hint="default"/>
        </w:rPr>
      </w:pPr>
    </w:p>
    <w:p w14:paraId="54E91767">
      <w:pPr>
        <w:pStyle w:val="22"/>
        <w:ind w:firstLine="480"/>
        <w:rPr>
          <w:rFonts w:hint="default"/>
        </w:rPr>
      </w:pPr>
      <w:r>
        <w:t>注：1.本表格若不填写，视同为完全响应招标文件要求，如投标文件其他承诺或方案内容与本响应表不一致，以本表内容为准。</w:t>
      </w:r>
    </w:p>
    <w:p w14:paraId="02649F0B">
      <w:pPr>
        <w:pStyle w:val="22"/>
        <w:ind w:firstLine="420" w:firstLineChars="0"/>
        <w:rPr>
          <w:rFonts w:hint="default"/>
        </w:rPr>
      </w:pPr>
    </w:p>
    <w:p w14:paraId="0A646EE5">
      <w:pPr>
        <w:pStyle w:val="22"/>
        <w:ind w:firstLine="420" w:firstLineChars="0"/>
        <w:rPr>
          <w:rFonts w:hint="default"/>
        </w:rPr>
      </w:pPr>
      <w:r>
        <w:t>法定代表人或授权委托人签字：</w:t>
      </w:r>
    </w:p>
    <w:p w14:paraId="569246B0">
      <w:pPr>
        <w:pStyle w:val="22"/>
        <w:ind w:firstLine="420" w:firstLineChars="0"/>
        <w:rPr>
          <w:rFonts w:hint="default"/>
        </w:rPr>
      </w:pPr>
    </w:p>
    <w:p w14:paraId="7C680896">
      <w:pPr>
        <w:pStyle w:val="22"/>
        <w:ind w:firstLine="420" w:firstLineChars="0"/>
        <w:rPr>
          <w:rFonts w:hint="default"/>
        </w:rPr>
      </w:pPr>
      <w:r>
        <w:t>供应商全称公章：</w:t>
      </w:r>
    </w:p>
    <w:p w14:paraId="60E7E512">
      <w:pPr>
        <w:pStyle w:val="22"/>
        <w:ind w:firstLine="420" w:firstLineChars="0"/>
        <w:jc w:val="right"/>
        <w:rPr>
          <w:rFonts w:hint="default" w:eastAsia="仿宋"/>
          <w:b/>
          <w:sz w:val="30"/>
          <w:szCs w:val="22"/>
        </w:rPr>
      </w:pPr>
      <w:r>
        <w:rPr>
          <w:lang w:eastAsia="zh-Hans"/>
        </w:rPr>
        <w:t xml:space="preserve">日期：    年  月 </w:t>
      </w:r>
      <w:r>
        <w:t xml:space="preserve"> </w:t>
      </w:r>
      <w:r>
        <w:rPr>
          <w:lang w:eastAsia="zh-Hans"/>
        </w:rPr>
        <w:t xml:space="preserve"> 日</w:t>
      </w:r>
      <w:r>
        <w:rPr>
          <w:rFonts w:eastAsia="仿宋"/>
          <w:b/>
          <w:sz w:val="30"/>
          <w:szCs w:val="22"/>
        </w:rPr>
        <w:br w:type="page"/>
      </w:r>
    </w:p>
    <w:p w14:paraId="7935F2BA">
      <w:pPr>
        <w:numPr>
          <w:ilvl w:val="0"/>
          <w:numId w:val="14"/>
        </w:numPr>
        <w:outlineLvl w:val="2"/>
        <w:rPr>
          <w:rFonts w:ascii="Times New Roman" w:hAnsi="Times New Roman" w:eastAsia="仿宋" w:cs="Times New Roman"/>
          <w:b/>
          <w:sz w:val="30"/>
          <w:szCs w:val="22"/>
        </w:rPr>
      </w:pPr>
      <w:r>
        <w:rPr>
          <w:rFonts w:hint="eastAsia" w:ascii="Times New Roman" w:hAnsi="Times New Roman" w:eastAsia="仿宋" w:cs="Times New Roman"/>
          <w:b/>
          <w:sz w:val="30"/>
          <w:szCs w:val="22"/>
        </w:rPr>
        <w:t>商务响应表</w:t>
      </w:r>
    </w:p>
    <w:p w14:paraId="303D0821">
      <w:pPr>
        <w:pStyle w:val="8"/>
        <w:ind w:firstLine="0" w:firstLineChars="0"/>
        <w:rPr>
          <w:sz w:val="24"/>
          <w:szCs w:val="22"/>
        </w:rPr>
      </w:pPr>
    </w:p>
    <w:p w14:paraId="1E767404">
      <w:pPr>
        <w:spacing w:line="360" w:lineRule="auto"/>
        <w:rPr>
          <w:sz w:val="24"/>
        </w:rPr>
      </w:pPr>
      <w:r>
        <w:rPr>
          <w:rFonts w:hint="eastAsia"/>
          <w:sz w:val="24"/>
          <w:lang w:val="en-US" w:eastAsia="zh-CN"/>
        </w:rPr>
        <w:t>项目</w:t>
      </w:r>
      <w:r>
        <w:rPr>
          <w:rFonts w:hint="eastAsia"/>
          <w:sz w:val="24"/>
        </w:rPr>
        <w:t>名称：</w:t>
      </w:r>
    </w:p>
    <w:p w14:paraId="7C1EE6A8">
      <w:pPr>
        <w:spacing w:line="360" w:lineRule="auto"/>
        <w:rPr>
          <w:rFonts w:hint="eastAsia"/>
          <w:sz w:val="24"/>
        </w:rPr>
      </w:pPr>
      <w:r>
        <w:rPr>
          <w:rFonts w:hint="eastAsia"/>
          <w:sz w:val="24"/>
          <w:lang w:val="en-US" w:eastAsia="zh-CN"/>
        </w:rPr>
        <w:t>项目</w:t>
      </w:r>
      <w:r>
        <w:rPr>
          <w:rFonts w:hint="eastAsia"/>
          <w:sz w:val="24"/>
        </w:rPr>
        <w:t>编号：</w:t>
      </w:r>
    </w:p>
    <w:tbl>
      <w:tblPr>
        <w:tblStyle w:val="15"/>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5"/>
        <w:gridCol w:w="2348"/>
        <w:gridCol w:w="2070"/>
        <w:gridCol w:w="2817"/>
      </w:tblGrid>
      <w:tr w14:paraId="20B94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21C631AC">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2"/>
                <w:szCs w:val="22"/>
              </w:rPr>
            </w:pPr>
            <w:r>
              <w:rPr>
                <w:rFonts w:hint="eastAsia" w:ascii="Times New Roman" w:hAnsi="Times New Roman" w:eastAsia="Times New Roman" w:cs="Times New Roman"/>
                <w:kern w:val="0"/>
                <w:sz w:val="22"/>
                <w:szCs w:val="22"/>
              </w:rPr>
              <w:t>项目</w:t>
            </w:r>
          </w:p>
        </w:tc>
        <w:tc>
          <w:tcPr>
            <w:tcW w:w="2348" w:type="dxa"/>
            <w:vAlign w:val="center"/>
          </w:tcPr>
          <w:p w14:paraId="4757C5DA">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2"/>
                <w:szCs w:val="22"/>
              </w:rPr>
            </w:pPr>
            <w:r>
              <w:rPr>
                <w:rFonts w:hint="eastAsia" w:ascii="Times New Roman" w:hAnsi="Times New Roman" w:eastAsia="Times New Roman" w:cs="Times New Roman"/>
                <w:kern w:val="0"/>
                <w:sz w:val="22"/>
                <w:szCs w:val="22"/>
              </w:rPr>
              <w:t>招标文件要求</w:t>
            </w:r>
          </w:p>
        </w:tc>
        <w:tc>
          <w:tcPr>
            <w:tcW w:w="2070" w:type="dxa"/>
            <w:vAlign w:val="center"/>
          </w:tcPr>
          <w:p w14:paraId="768402B8">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2"/>
                <w:szCs w:val="22"/>
              </w:rPr>
            </w:pPr>
            <w:r>
              <w:rPr>
                <w:rFonts w:hint="eastAsia" w:ascii="Times New Roman" w:hAnsi="Times New Roman" w:eastAsia="Times New Roman" w:cs="Times New Roman"/>
                <w:kern w:val="0"/>
                <w:sz w:val="22"/>
                <w:szCs w:val="22"/>
              </w:rPr>
              <w:t>是否响应</w:t>
            </w:r>
          </w:p>
        </w:tc>
        <w:tc>
          <w:tcPr>
            <w:tcW w:w="2817" w:type="dxa"/>
            <w:vAlign w:val="center"/>
          </w:tcPr>
          <w:p w14:paraId="1103086E">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2"/>
                <w:szCs w:val="22"/>
              </w:rPr>
            </w:pPr>
            <w:r>
              <w:rPr>
                <w:rFonts w:hint="eastAsia" w:ascii="Times New Roman" w:hAnsi="Times New Roman" w:eastAsia="Times New Roman" w:cs="Times New Roman"/>
                <w:kern w:val="0"/>
                <w:sz w:val="22"/>
                <w:szCs w:val="22"/>
              </w:rPr>
              <w:t>供应商的承诺和说明</w:t>
            </w:r>
          </w:p>
        </w:tc>
      </w:tr>
      <w:tr w14:paraId="0D007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6DD92ED2">
            <w:pPr>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18"/>
                <w:szCs w:val="18"/>
              </w:rPr>
            </w:pPr>
          </w:p>
        </w:tc>
        <w:tc>
          <w:tcPr>
            <w:tcW w:w="2348" w:type="dxa"/>
            <w:vAlign w:val="center"/>
          </w:tcPr>
          <w:p w14:paraId="07259D78">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rPr>
            </w:pPr>
          </w:p>
        </w:tc>
        <w:tc>
          <w:tcPr>
            <w:tcW w:w="2070" w:type="dxa"/>
            <w:vAlign w:val="center"/>
          </w:tcPr>
          <w:p w14:paraId="3A528189">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rPr>
            </w:pPr>
          </w:p>
        </w:tc>
        <w:tc>
          <w:tcPr>
            <w:tcW w:w="2817" w:type="dxa"/>
            <w:vAlign w:val="center"/>
          </w:tcPr>
          <w:p w14:paraId="5BCF4521">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rPr>
            </w:pPr>
          </w:p>
        </w:tc>
      </w:tr>
      <w:tr w14:paraId="7E703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07ABDA9E">
            <w:pPr>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18"/>
                <w:szCs w:val="18"/>
              </w:rPr>
            </w:pPr>
          </w:p>
        </w:tc>
        <w:tc>
          <w:tcPr>
            <w:tcW w:w="2348" w:type="dxa"/>
            <w:vAlign w:val="center"/>
          </w:tcPr>
          <w:p w14:paraId="7CE69F36">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rPr>
            </w:pPr>
          </w:p>
        </w:tc>
        <w:tc>
          <w:tcPr>
            <w:tcW w:w="2070" w:type="dxa"/>
            <w:vAlign w:val="center"/>
          </w:tcPr>
          <w:p w14:paraId="29AF2A1A">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rPr>
            </w:pPr>
          </w:p>
        </w:tc>
        <w:tc>
          <w:tcPr>
            <w:tcW w:w="2817" w:type="dxa"/>
            <w:vAlign w:val="center"/>
          </w:tcPr>
          <w:p w14:paraId="487CA731">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rPr>
            </w:pPr>
          </w:p>
        </w:tc>
      </w:tr>
      <w:tr w14:paraId="35E1C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327745C1">
            <w:pPr>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18"/>
                <w:szCs w:val="18"/>
              </w:rPr>
            </w:pPr>
          </w:p>
        </w:tc>
        <w:tc>
          <w:tcPr>
            <w:tcW w:w="2348" w:type="dxa"/>
            <w:vAlign w:val="center"/>
          </w:tcPr>
          <w:p w14:paraId="7BE7AEAC">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rPr>
            </w:pPr>
          </w:p>
        </w:tc>
        <w:tc>
          <w:tcPr>
            <w:tcW w:w="2070" w:type="dxa"/>
            <w:vAlign w:val="center"/>
          </w:tcPr>
          <w:p w14:paraId="314E2D9D">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rPr>
            </w:pPr>
          </w:p>
        </w:tc>
        <w:tc>
          <w:tcPr>
            <w:tcW w:w="2817" w:type="dxa"/>
            <w:vAlign w:val="center"/>
          </w:tcPr>
          <w:p w14:paraId="640090A2">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rPr>
            </w:pPr>
          </w:p>
        </w:tc>
      </w:tr>
      <w:tr w14:paraId="2060E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2FDA2B03">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kern w:val="0"/>
                <w:szCs w:val="21"/>
              </w:rPr>
            </w:pPr>
            <w:r>
              <w:rPr>
                <w:rFonts w:hint="eastAsia" w:ascii="Times New Roman" w:hAnsi="Times New Roman" w:eastAsia="宋体" w:cs="Times New Roman"/>
                <w:kern w:val="0"/>
                <w:szCs w:val="21"/>
              </w:rPr>
              <w:t>...</w:t>
            </w:r>
          </w:p>
        </w:tc>
        <w:tc>
          <w:tcPr>
            <w:tcW w:w="2348" w:type="dxa"/>
            <w:vAlign w:val="center"/>
          </w:tcPr>
          <w:p w14:paraId="51BF99F7">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rPr>
            </w:pPr>
          </w:p>
        </w:tc>
        <w:tc>
          <w:tcPr>
            <w:tcW w:w="2070" w:type="dxa"/>
            <w:vAlign w:val="center"/>
          </w:tcPr>
          <w:p w14:paraId="7F2423B2">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rPr>
            </w:pPr>
          </w:p>
        </w:tc>
        <w:tc>
          <w:tcPr>
            <w:tcW w:w="2817" w:type="dxa"/>
            <w:vAlign w:val="center"/>
          </w:tcPr>
          <w:p w14:paraId="43323F5A">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rPr>
            </w:pPr>
          </w:p>
        </w:tc>
      </w:tr>
      <w:tr w14:paraId="62FE6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063C081B">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kern w:val="0"/>
                <w:szCs w:val="21"/>
              </w:rPr>
            </w:pPr>
          </w:p>
        </w:tc>
        <w:tc>
          <w:tcPr>
            <w:tcW w:w="2348" w:type="dxa"/>
            <w:vAlign w:val="center"/>
          </w:tcPr>
          <w:p w14:paraId="26AF38E3">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rPr>
            </w:pPr>
          </w:p>
        </w:tc>
        <w:tc>
          <w:tcPr>
            <w:tcW w:w="2070" w:type="dxa"/>
            <w:vAlign w:val="center"/>
          </w:tcPr>
          <w:p w14:paraId="665F61E3">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rPr>
            </w:pPr>
          </w:p>
        </w:tc>
        <w:tc>
          <w:tcPr>
            <w:tcW w:w="2817" w:type="dxa"/>
            <w:vAlign w:val="center"/>
          </w:tcPr>
          <w:p w14:paraId="5DCCB3AC">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Cs w:val="21"/>
              </w:rPr>
            </w:pPr>
          </w:p>
        </w:tc>
      </w:tr>
    </w:tbl>
    <w:p w14:paraId="0BD433A6">
      <w:pPr>
        <w:jc w:val="center"/>
        <w:rPr>
          <w:rFonts w:ascii="Times New Roman" w:hAnsi="Times New Roman" w:eastAsia="宋体" w:cs="Times New Roman"/>
          <w:szCs w:val="22"/>
        </w:rPr>
      </w:pPr>
    </w:p>
    <w:p w14:paraId="0B93AC96">
      <w:pPr>
        <w:pStyle w:val="22"/>
        <w:ind w:firstLine="420" w:firstLineChars="0"/>
        <w:rPr>
          <w:rFonts w:hint="default"/>
        </w:rPr>
      </w:pPr>
      <w:r>
        <w:t>本表格若不填写，视同为完全响应招标文件要求，如投标文件其他承诺或方案内容与本响应表不一致，以本表内容为准。</w:t>
      </w:r>
    </w:p>
    <w:p w14:paraId="4F0340FF">
      <w:pPr>
        <w:pStyle w:val="22"/>
        <w:ind w:firstLine="480"/>
        <w:rPr>
          <w:rFonts w:hint="default"/>
        </w:rPr>
      </w:pPr>
    </w:p>
    <w:p w14:paraId="3A82FF43">
      <w:pPr>
        <w:pStyle w:val="22"/>
        <w:ind w:firstLine="0" w:firstLineChars="0"/>
        <w:rPr>
          <w:rFonts w:hint="default"/>
        </w:rPr>
      </w:pPr>
      <w:r>
        <w:t>法定代表人或授权委托人签字：</w:t>
      </w:r>
    </w:p>
    <w:p w14:paraId="65494479">
      <w:pPr>
        <w:pStyle w:val="22"/>
        <w:ind w:firstLine="480"/>
        <w:rPr>
          <w:rFonts w:hint="default"/>
        </w:rPr>
      </w:pPr>
    </w:p>
    <w:p w14:paraId="1BA3134E">
      <w:pPr>
        <w:pStyle w:val="22"/>
        <w:ind w:firstLine="0" w:firstLineChars="0"/>
        <w:rPr>
          <w:rFonts w:hint="default"/>
        </w:rPr>
      </w:pPr>
      <w:r>
        <w:t>供应商全称公章：</w:t>
      </w:r>
    </w:p>
    <w:p w14:paraId="1687A850">
      <w:pPr>
        <w:pStyle w:val="22"/>
        <w:ind w:firstLine="480"/>
        <w:rPr>
          <w:rFonts w:hint="default"/>
        </w:rPr>
      </w:pPr>
    </w:p>
    <w:p w14:paraId="6A950139">
      <w:pPr>
        <w:pStyle w:val="22"/>
        <w:ind w:firstLine="0" w:firstLineChars="0"/>
        <w:rPr>
          <w:rFonts w:hint="default"/>
        </w:rPr>
      </w:pPr>
      <w:r>
        <w:rPr>
          <w:lang w:eastAsia="zh-Hans"/>
        </w:rPr>
        <w:t>日期：    年  月  日</w:t>
      </w:r>
    </w:p>
    <w:p w14:paraId="53AA0F3C">
      <w:pPr>
        <w:rPr>
          <w:rFonts w:hint="eastAsia" w:ascii="仿宋" w:hAnsi="仿宋" w:eastAsia="仿宋" w:cs="仿宋"/>
          <w:b/>
          <w:sz w:val="30"/>
          <w:szCs w:val="30"/>
        </w:rPr>
      </w:pPr>
      <w:r>
        <w:rPr>
          <w:rFonts w:hint="eastAsia" w:ascii="仿宋" w:hAnsi="仿宋" w:eastAsia="仿宋" w:cs="仿宋"/>
          <w:b/>
          <w:sz w:val="30"/>
          <w:szCs w:val="30"/>
        </w:rPr>
        <w:br w:type="page"/>
      </w:r>
    </w:p>
    <w:p w14:paraId="68C53493">
      <w:pPr>
        <w:outlineLvl w:val="2"/>
        <w:rPr>
          <w:rFonts w:ascii="Times New Roman" w:hAnsi="Times New Roman" w:eastAsia="仿宋" w:cs="Times New Roman"/>
          <w:b/>
          <w:sz w:val="30"/>
          <w:szCs w:val="22"/>
        </w:rPr>
      </w:pPr>
      <w:r>
        <w:rPr>
          <w:rFonts w:hint="eastAsia" w:ascii="Times New Roman" w:hAnsi="Times New Roman" w:eastAsia="仿宋" w:cs="Times New Roman"/>
          <w:b/>
          <w:sz w:val="30"/>
          <w:szCs w:val="22"/>
        </w:rPr>
        <w:t>十、企业业绩</w:t>
      </w:r>
    </w:p>
    <w:p w14:paraId="2419D7DD">
      <w:pPr>
        <w:spacing w:line="360" w:lineRule="auto"/>
        <w:rPr>
          <w:sz w:val="24"/>
        </w:rPr>
      </w:pPr>
      <w:r>
        <w:rPr>
          <w:rFonts w:hint="eastAsia"/>
          <w:sz w:val="24"/>
          <w:lang w:val="en-US" w:eastAsia="zh-CN"/>
        </w:rPr>
        <w:t>项目</w:t>
      </w:r>
      <w:r>
        <w:rPr>
          <w:rFonts w:hint="eastAsia"/>
          <w:sz w:val="24"/>
        </w:rPr>
        <w:t>名称：</w:t>
      </w:r>
    </w:p>
    <w:p w14:paraId="16E2EA76">
      <w:pPr>
        <w:spacing w:line="360" w:lineRule="auto"/>
        <w:rPr>
          <w:rFonts w:hint="eastAsia"/>
          <w:sz w:val="24"/>
        </w:rPr>
      </w:pPr>
      <w:r>
        <w:rPr>
          <w:rFonts w:hint="eastAsia"/>
          <w:sz w:val="24"/>
          <w:lang w:val="en-US" w:eastAsia="zh-CN"/>
        </w:rPr>
        <w:t>项目</w:t>
      </w:r>
      <w:r>
        <w:rPr>
          <w:rFonts w:hint="eastAsia"/>
          <w:sz w:val="24"/>
        </w:rPr>
        <w:t>编号：</w:t>
      </w:r>
    </w:p>
    <w:tbl>
      <w:tblPr>
        <w:tblStyle w:val="15"/>
        <w:tblW w:w="9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8"/>
        <w:gridCol w:w="1808"/>
        <w:gridCol w:w="1808"/>
        <w:gridCol w:w="1808"/>
        <w:gridCol w:w="1808"/>
      </w:tblGrid>
      <w:tr w14:paraId="0C920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trPr>
        <w:tc>
          <w:tcPr>
            <w:tcW w:w="1808" w:type="dxa"/>
            <w:vAlign w:val="center"/>
          </w:tcPr>
          <w:p w14:paraId="5E6F1B4E">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rPr>
            </w:pPr>
            <w:r>
              <w:rPr>
                <w:rFonts w:hint="eastAsia" w:ascii="Times New Roman" w:hAnsi="Times New Roman" w:eastAsia="Times New Roman" w:cs="Times New Roman"/>
                <w:kern w:val="0"/>
                <w:sz w:val="24"/>
                <w:szCs w:val="20"/>
              </w:rPr>
              <w:t>序号</w:t>
            </w:r>
          </w:p>
        </w:tc>
        <w:tc>
          <w:tcPr>
            <w:tcW w:w="1808" w:type="dxa"/>
            <w:vAlign w:val="center"/>
          </w:tcPr>
          <w:p w14:paraId="47D29AC6">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rPr>
            </w:pPr>
            <w:r>
              <w:rPr>
                <w:rFonts w:hint="eastAsia" w:ascii="Times New Roman" w:hAnsi="Times New Roman" w:eastAsia="Times New Roman" w:cs="Times New Roman"/>
                <w:kern w:val="0"/>
                <w:sz w:val="24"/>
                <w:szCs w:val="20"/>
              </w:rPr>
              <w:t>使用方</w:t>
            </w:r>
          </w:p>
        </w:tc>
        <w:tc>
          <w:tcPr>
            <w:tcW w:w="1808" w:type="dxa"/>
            <w:vAlign w:val="center"/>
          </w:tcPr>
          <w:p w14:paraId="3621D414">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rPr>
            </w:pPr>
            <w:r>
              <w:rPr>
                <w:rFonts w:hint="eastAsia" w:ascii="Times New Roman" w:hAnsi="Times New Roman" w:eastAsia="Times New Roman" w:cs="Times New Roman"/>
                <w:kern w:val="0"/>
                <w:sz w:val="24"/>
                <w:szCs w:val="20"/>
              </w:rPr>
              <w:t>项目名称</w:t>
            </w:r>
          </w:p>
        </w:tc>
        <w:tc>
          <w:tcPr>
            <w:tcW w:w="1808" w:type="dxa"/>
            <w:vAlign w:val="center"/>
          </w:tcPr>
          <w:p w14:paraId="6A04A5A1">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rPr>
            </w:pPr>
            <w:r>
              <w:rPr>
                <w:rFonts w:hint="eastAsia" w:ascii="Times New Roman" w:hAnsi="Times New Roman" w:eastAsia="Times New Roman" w:cs="Times New Roman"/>
                <w:kern w:val="0"/>
                <w:sz w:val="24"/>
                <w:szCs w:val="20"/>
              </w:rPr>
              <w:t>成交金额</w:t>
            </w:r>
          </w:p>
          <w:p w14:paraId="7B84D9C2">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rPr>
            </w:pPr>
            <w:r>
              <w:rPr>
                <w:rFonts w:hint="eastAsia" w:ascii="Times New Roman" w:hAnsi="Times New Roman" w:eastAsia="Times New Roman" w:cs="Times New Roman"/>
                <w:kern w:val="0"/>
                <w:sz w:val="24"/>
                <w:szCs w:val="20"/>
              </w:rPr>
              <w:t>（单位：元）</w:t>
            </w:r>
          </w:p>
        </w:tc>
        <w:tc>
          <w:tcPr>
            <w:tcW w:w="1808" w:type="dxa"/>
            <w:vAlign w:val="center"/>
          </w:tcPr>
          <w:p w14:paraId="5B31F4FE">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rPr>
            </w:pPr>
            <w:r>
              <w:rPr>
                <w:rFonts w:hint="eastAsia" w:ascii="Times New Roman" w:hAnsi="Times New Roman" w:eastAsia="Times New Roman" w:cs="Times New Roman"/>
                <w:kern w:val="0"/>
                <w:sz w:val="24"/>
                <w:szCs w:val="20"/>
              </w:rPr>
              <w:t>签订时间</w:t>
            </w:r>
          </w:p>
        </w:tc>
      </w:tr>
      <w:tr w14:paraId="09C5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808" w:type="dxa"/>
            <w:vAlign w:val="center"/>
          </w:tcPr>
          <w:p w14:paraId="70B15F19">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rPr>
            </w:pPr>
          </w:p>
        </w:tc>
        <w:tc>
          <w:tcPr>
            <w:tcW w:w="1808" w:type="dxa"/>
            <w:vAlign w:val="center"/>
          </w:tcPr>
          <w:p w14:paraId="09D5A5F8">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rPr>
            </w:pPr>
          </w:p>
        </w:tc>
        <w:tc>
          <w:tcPr>
            <w:tcW w:w="1808" w:type="dxa"/>
            <w:vAlign w:val="center"/>
          </w:tcPr>
          <w:p w14:paraId="08F03AA5">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rPr>
            </w:pPr>
          </w:p>
        </w:tc>
        <w:tc>
          <w:tcPr>
            <w:tcW w:w="1808" w:type="dxa"/>
            <w:vAlign w:val="center"/>
          </w:tcPr>
          <w:p w14:paraId="30D2E1D8">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rPr>
            </w:pPr>
          </w:p>
        </w:tc>
        <w:tc>
          <w:tcPr>
            <w:tcW w:w="1808" w:type="dxa"/>
            <w:vAlign w:val="center"/>
          </w:tcPr>
          <w:p w14:paraId="428CE745">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rPr>
            </w:pPr>
          </w:p>
        </w:tc>
      </w:tr>
      <w:tr w14:paraId="2F76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808" w:type="dxa"/>
            <w:vAlign w:val="center"/>
          </w:tcPr>
          <w:p w14:paraId="680814F7">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rPr>
            </w:pPr>
          </w:p>
        </w:tc>
        <w:tc>
          <w:tcPr>
            <w:tcW w:w="1808" w:type="dxa"/>
            <w:vAlign w:val="center"/>
          </w:tcPr>
          <w:p w14:paraId="69313010">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rPr>
            </w:pPr>
          </w:p>
        </w:tc>
        <w:tc>
          <w:tcPr>
            <w:tcW w:w="1808" w:type="dxa"/>
            <w:vAlign w:val="center"/>
          </w:tcPr>
          <w:p w14:paraId="393A8147">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rPr>
            </w:pPr>
          </w:p>
        </w:tc>
        <w:tc>
          <w:tcPr>
            <w:tcW w:w="1808" w:type="dxa"/>
            <w:vAlign w:val="center"/>
          </w:tcPr>
          <w:p w14:paraId="45279D97">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rPr>
            </w:pPr>
          </w:p>
        </w:tc>
        <w:tc>
          <w:tcPr>
            <w:tcW w:w="1808" w:type="dxa"/>
            <w:vAlign w:val="center"/>
          </w:tcPr>
          <w:p w14:paraId="4397014B">
            <w:pPr>
              <w:keepNext w:val="0"/>
              <w:keepLines w:val="0"/>
              <w:suppressLineNumbers w:val="0"/>
              <w:spacing w:before="0" w:beforeAutospacing="0" w:after="0" w:afterAutospacing="0" w:line="360" w:lineRule="auto"/>
              <w:ind w:left="0" w:right="0"/>
              <w:jc w:val="center"/>
              <w:rPr>
                <w:rFonts w:hint="default" w:ascii="Times New Roman" w:hAnsi="Times New Roman" w:eastAsia="Times New Roman" w:cs="Times New Roman"/>
                <w:kern w:val="0"/>
                <w:sz w:val="24"/>
                <w:szCs w:val="20"/>
              </w:rPr>
            </w:pPr>
          </w:p>
        </w:tc>
      </w:tr>
    </w:tbl>
    <w:p w14:paraId="5353A816">
      <w:pPr>
        <w:rPr>
          <w:rFonts w:ascii="Times New Roman" w:hAnsi="Times New Roman" w:eastAsia="宋体" w:cs="Times New Roman"/>
          <w:szCs w:val="22"/>
        </w:rPr>
      </w:pPr>
    </w:p>
    <w:p w14:paraId="431F54C3">
      <w:pPr>
        <w:pStyle w:val="22"/>
        <w:ind w:firstLine="0" w:firstLineChars="0"/>
        <w:rPr>
          <w:rFonts w:hint="default"/>
        </w:rPr>
      </w:pPr>
      <w:r>
        <w:t>1.业绩是指供应商202</w:t>
      </w:r>
      <w:r>
        <w:rPr>
          <w:rFonts w:hint="eastAsia"/>
          <w:lang w:val="en-US" w:eastAsia="zh-CN"/>
        </w:rPr>
        <w:t>3</w:t>
      </w:r>
      <w:r>
        <w:t>年1月1日至今</w:t>
      </w:r>
      <w:r>
        <w:rPr>
          <w:rFonts w:hint="eastAsia"/>
          <w:lang w:val="en-US" w:eastAsia="zh-CN"/>
        </w:rPr>
        <w:t>同类</w:t>
      </w:r>
      <w:r>
        <w:t>业绩；</w:t>
      </w:r>
    </w:p>
    <w:p w14:paraId="7E4B85F0">
      <w:pPr>
        <w:pStyle w:val="22"/>
        <w:ind w:firstLine="0" w:firstLineChars="0"/>
        <w:rPr>
          <w:rFonts w:hint="default"/>
        </w:rPr>
      </w:pPr>
      <w:r>
        <w:t>2.此表仅提供表格形式，供应商应根据需要准备足够数量的表格来填写。</w:t>
      </w:r>
    </w:p>
    <w:p w14:paraId="4D6693AE">
      <w:pPr>
        <w:pStyle w:val="22"/>
        <w:ind w:firstLine="480"/>
        <w:rPr>
          <w:rFonts w:hint="default"/>
        </w:rPr>
      </w:pPr>
    </w:p>
    <w:p w14:paraId="684DED20">
      <w:pPr>
        <w:pStyle w:val="22"/>
        <w:ind w:firstLine="0" w:firstLineChars="0"/>
        <w:rPr>
          <w:rFonts w:hint="default"/>
        </w:rPr>
      </w:pPr>
      <w:r>
        <w:t>法定代表人或授权委托人签字：</w:t>
      </w:r>
    </w:p>
    <w:p w14:paraId="13B686CB">
      <w:pPr>
        <w:pStyle w:val="22"/>
        <w:ind w:firstLine="480"/>
        <w:rPr>
          <w:rFonts w:hint="default"/>
        </w:rPr>
      </w:pPr>
    </w:p>
    <w:p w14:paraId="552F6495">
      <w:pPr>
        <w:pStyle w:val="22"/>
        <w:ind w:firstLine="0" w:firstLineChars="0"/>
        <w:rPr>
          <w:rFonts w:hint="default"/>
        </w:rPr>
      </w:pPr>
      <w:r>
        <w:t>供应商全称公章：</w:t>
      </w:r>
    </w:p>
    <w:p w14:paraId="02C4899E">
      <w:pPr>
        <w:pStyle w:val="22"/>
        <w:ind w:firstLine="480"/>
        <w:rPr>
          <w:rFonts w:hint="default"/>
        </w:rPr>
      </w:pPr>
    </w:p>
    <w:p w14:paraId="16053833">
      <w:pPr>
        <w:pStyle w:val="22"/>
        <w:ind w:firstLine="0" w:firstLineChars="0"/>
        <w:rPr>
          <w:rFonts w:hint="default"/>
        </w:rPr>
      </w:pPr>
      <w:r>
        <w:rPr>
          <w:lang w:eastAsia="zh-Hans"/>
        </w:rPr>
        <w:t>日期：    年  月  日</w:t>
      </w:r>
    </w:p>
    <w:p w14:paraId="254AE42F">
      <w:pPr>
        <w:rPr>
          <w:rFonts w:ascii="Times New Roman" w:hAnsi="Times New Roman" w:eastAsia="宋体" w:cs="Times New Roman"/>
          <w:b/>
          <w:sz w:val="30"/>
          <w:szCs w:val="30"/>
        </w:rPr>
      </w:pPr>
    </w:p>
    <w:p w14:paraId="6F18D2E2">
      <w:pPr>
        <w:rPr>
          <w:rFonts w:ascii="Times New Roman" w:hAnsi="Times New Roman" w:eastAsia="宋体" w:cs="Times New Roman"/>
          <w:b/>
          <w:sz w:val="30"/>
          <w:szCs w:val="30"/>
        </w:rPr>
      </w:pPr>
      <w:r>
        <w:rPr>
          <w:rFonts w:hint="eastAsia" w:ascii="Times New Roman" w:hAnsi="Times New Roman" w:eastAsia="宋体" w:cs="Times New Roman"/>
          <w:b/>
          <w:sz w:val="30"/>
          <w:szCs w:val="30"/>
        </w:rPr>
        <w:br w:type="page"/>
      </w:r>
    </w:p>
    <w:p w14:paraId="2BF8A9D7">
      <w:pPr>
        <w:pStyle w:val="8"/>
        <w:ind w:firstLine="0" w:firstLineChars="0"/>
        <w:rPr>
          <w:rFonts w:hint="eastAsia" w:eastAsia="宋体"/>
          <w:lang w:eastAsia="zh-CN"/>
        </w:rPr>
      </w:pPr>
      <w:bookmarkStart w:id="1" w:name="附录5"/>
      <w:r>
        <w:rPr>
          <w:rFonts w:hint="eastAsia"/>
        </w:rPr>
        <w:t>附件</w:t>
      </w:r>
      <w:r>
        <w:rPr>
          <w:rFonts w:hint="eastAsia"/>
          <w:lang w:val="en-US" w:eastAsia="zh-CN"/>
        </w:rPr>
        <w:t>3</w:t>
      </w:r>
    </w:p>
    <w:bookmarkEnd w:id="1"/>
    <w:p w14:paraId="413EDBDF">
      <w:pPr>
        <w:ind w:firstLine="480"/>
        <w:jc w:val="right"/>
        <w:rPr>
          <w:rFonts w:ascii="Times New Roman" w:hAnsi="Times New Roman" w:eastAsia="宋体" w:cs="Times New Roman"/>
          <w:sz w:val="40"/>
          <w:szCs w:val="36"/>
        </w:rPr>
      </w:pPr>
      <w:r>
        <w:rPr>
          <w:rFonts w:hint="eastAsia" w:ascii="Times New Roman" w:hAnsi="Times New Roman" w:eastAsia="宋体" w:cs="Times New Roman"/>
          <w:sz w:val="40"/>
          <w:szCs w:val="36"/>
        </w:rPr>
        <w:t>正本/副本</w:t>
      </w:r>
    </w:p>
    <w:p w14:paraId="1A6A7E92">
      <w:pPr>
        <w:jc w:val="center"/>
        <w:rPr>
          <w:rFonts w:ascii="Times New Roman" w:hAnsi="Times New Roman" w:eastAsia="宋体" w:cs="Times New Roman"/>
          <w:sz w:val="96"/>
          <w:szCs w:val="72"/>
        </w:rPr>
      </w:pPr>
    </w:p>
    <w:p w14:paraId="357C269F">
      <w:pPr>
        <w:jc w:val="center"/>
        <w:rPr>
          <w:rFonts w:ascii="Times New Roman" w:hAnsi="Times New Roman" w:eastAsia="宋体" w:cs="Times New Roman"/>
          <w:sz w:val="96"/>
          <w:szCs w:val="72"/>
        </w:rPr>
      </w:pPr>
    </w:p>
    <w:p w14:paraId="37673E1F">
      <w:pPr>
        <w:jc w:val="center"/>
        <w:rPr>
          <w:rFonts w:ascii="Times New Roman" w:hAnsi="Times New Roman" w:eastAsia="宋体" w:cs="Times New Roman"/>
          <w:sz w:val="56"/>
          <w:szCs w:val="52"/>
        </w:rPr>
      </w:pPr>
    </w:p>
    <w:p w14:paraId="599B4645">
      <w:pPr>
        <w:jc w:val="center"/>
        <w:outlineLvl w:val="0"/>
        <w:rPr>
          <w:rFonts w:ascii="Times New Roman" w:hAnsi="Times New Roman" w:eastAsia="宋体" w:cs="Times New Roman"/>
          <w:sz w:val="96"/>
          <w:szCs w:val="72"/>
        </w:rPr>
      </w:pPr>
      <w:r>
        <w:rPr>
          <w:rFonts w:hint="eastAsia" w:ascii="Times New Roman" w:hAnsi="Times New Roman" w:eastAsia="宋体" w:cs="Times New Roman"/>
          <w:sz w:val="96"/>
          <w:szCs w:val="72"/>
        </w:rPr>
        <w:t>报价文件</w:t>
      </w:r>
    </w:p>
    <w:p w14:paraId="22C23614">
      <w:pPr>
        <w:jc w:val="center"/>
        <w:rPr>
          <w:rFonts w:ascii="Times New Roman" w:hAnsi="Times New Roman" w:eastAsia="宋体" w:cs="Times New Roman"/>
          <w:sz w:val="96"/>
          <w:szCs w:val="72"/>
        </w:rPr>
      </w:pPr>
    </w:p>
    <w:p w14:paraId="356E7A9D">
      <w:pPr>
        <w:jc w:val="center"/>
        <w:rPr>
          <w:rFonts w:ascii="Times New Roman" w:hAnsi="Times New Roman" w:eastAsia="宋体" w:cs="Times New Roman"/>
          <w:sz w:val="56"/>
          <w:szCs w:val="52"/>
        </w:rPr>
      </w:pPr>
    </w:p>
    <w:p w14:paraId="690CB640">
      <w:pPr>
        <w:pStyle w:val="8"/>
        <w:ind w:firstLine="280"/>
      </w:pPr>
      <w:r>
        <w:rPr>
          <w:rFonts w:hint="eastAsia"/>
        </w:rPr>
        <w:t>项目名称：</w:t>
      </w:r>
    </w:p>
    <w:p w14:paraId="74BB32DF">
      <w:pPr>
        <w:pStyle w:val="8"/>
        <w:ind w:firstLine="280"/>
      </w:pPr>
      <w:r>
        <w:rPr>
          <w:rFonts w:hint="eastAsia"/>
        </w:rPr>
        <w:t>项目编号：</w:t>
      </w:r>
    </w:p>
    <w:p w14:paraId="73168ECA">
      <w:pPr>
        <w:pStyle w:val="8"/>
        <w:ind w:firstLine="280"/>
      </w:pPr>
      <w:r>
        <w:rPr>
          <w:rFonts w:hint="eastAsia"/>
        </w:rPr>
        <w:t>投标人名称：</w:t>
      </w:r>
    </w:p>
    <w:p w14:paraId="0FFE9FF8">
      <w:pPr>
        <w:pStyle w:val="8"/>
        <w:ind w:firstLine="280"/>
      </w:pPr>
      <w:r>
        <w:rPr>
          <w:rFonts w:hint="eastAsia"/>
        </w:rPr>
        <w:t>投标人地址：</w:t>
      </w:r>
    </w:p>
    <w:p w14:paraId="2BAC2107">
      <w:pPr>
        <w:pStyle w:val="8"/>
        <w:ind w:firstLine="280"/>
      </w:pPr>
      <w:r>
        <w:rPr>
          <w:rFonts w:hint="eastAsia"/>
        </w:rPr>
        <w:t>在    年    月    日    时    分之前不得启封</w:t>
      </w:r>
    </w:p>
    <w:p w14:paraId="60D17B6E">
      <w:pPr>
        <w:ind w:firstLine="480"/>
        <w:jc w:val="right"/>
        <w:rPr>
          <w:rFonts w:ascii="Times New Roman" w:hAnsi="Times New Roman" w:eastAsia="宋体" w:cs="Times New Roman"/>
          <w:b/>
          <w:sz w:val="32"/>
        </w:rPr>
      </w:pPr>
      <w:r>
        <w:rPr>
          <w:rFonts w:hint="eastAsia" w:ascii="Times New Roman" w:hAnsi="Times New Roman" w:eastAsia="宋体" w:cs="Times New Roman"/>
          <w:sz w:val="28"/>
        </w:rPr>
        <w:t>年  月  日</w:t>
      </w:r>
    </w:p>
    <w:p w14:paraId="14F1FE67">
      <w:pPr>
        <w:rPr>
          <w:rFonts w:ascii="Times New Roman" w:hAnsi="Times New Roman" w:eastAsia="宋体" w:cs="Times New Roman"/>
          <w:b/>
          <w:sz w:val="32"/>
        </w:rPr>
      </w:pPr>
      <w:r>
        <w:rPr>
          <w:rFonts w:hint="eastAsia" w:ascii="Times New Roman" w:hAnsi="Times New Roman" w:eastAsia="宋体" w:cs="Times New Roman"/>
          <w:b/>
          <w:sz w:val="32"/>
        </w:rPr>
        <w:br w:type="page"/>
      </w:r>
    </w:p>
    <w:p w14:paraId="6F57A0A9">
      <w:pPr>
        <w:spacing w:before="156" w:beforeLines="50"/>
        <w:jc w:val="center"/>
        <w:outlineLvl w:val="2"/>
        <w:rPr>
          <w:rFonts w:hint="eastAsia" w:ascii="仿宋" w:hAnsi="仿宋" w:eastAsia="仿宋" w:cs="仿宋"/>
          <w:b/>
          <w:sz w:val="30"/>
          <w:szCs w:val="30"/>
        </w:rPr>
      </w:pPr>
      <w:r>
        <w:rPr>
          <w:rFonts w:hint="eastAsia" w:ascii="仿宋" w:hAnsi="仿宋" w:eastAsia="仿宋" w:cs="仿宋"/>
          <w:b/>
          <w:sz w:val="30"/>
          <w:szCs w:val="30"/>
        </w:rPr>
        <w:t>一、投标响应函</w:t>
      </w:r>
    </w:p>
    <w:p w14:paraId="414FF02B">
      <w:pPr>
        <w:pStyle w:val="22"/>
        <w:ind w:firstLine="0" w:firstLineChars="0"/>
        <w:rPr>
          <w:rFonts w:hint="default"/>
        </w:rPr>
      </w:pPr>
      <w:r>
        <w:t>致湖州学院：</w:t>
      </w:r>
    </w:p>
    <w:p w14:paraId="2FDA814C">
      <w:pPr>
        <w:pStyle w:val="22"/>
        <w:ind w:firstLine="480"/>
        <w:rPr>
          <w:rFonts w:hint="default"/>
        </w:rPr>
      </w:pPr>
      <w:r>
        <w:t>本人</w:t>
      </w:r>
      <w:r>
        <w:rPr>
          <w:u w:val="single"/>
        </w:rPr>
        <w:t xml:space="preserve">           </w:t>
      </w:r>
      <w:r>
        <w:t>（姓名），身份证号：</w:t>
      </w:r>
      <w:r>
        <w:rPr>
          <w:u w:val="single"/>
        </w:rPr>
        <w:t xml:space="preserve">                 </w:t>
      </w:r>
      <w:r>
        <w:t xml:space="preserve"> ，系 </w:t>
      </w:r>
      <w:r>
        <w:rPr>
          <w:u w:val="single"/>
        </w:rPr>
        <w:t xml:space="preserve">            </w:t>
      </w:r>
      <w:r>
        <w:t>（供应商名称）的法定代表人，现授权</w:t>
      </w:r>
      <w:r>
        <w:rPr>
          <w:u w:val="single"/>
        </w:rPr>
        <w:t xml:space="preserve">            </w:t>
      </w:r>
      <w:r>
        <w:t>（姓名），身份证号：</w:t>
      </w:r>
      <w:r>
        <w:rPr>
          <w:u w:val="single"/>
        </w:rPr>
        <w:t xml:space="preserve">                   </w:t>
      </w:r>
      <w:r>
        <w:t xml:space="preserve"> ，为授权委托人。以我方的名义参加编号：</w:t>
      </w:r>
      <w:r>
        <w:rPr>
          <w:u w:val="single"/>
        </w:rPr>
        <w:t xml:space="preserve">           </w:t>
      </w:r>
      <w:r>
        <w:t>，名称</w:t>
      </w:r>
      <w:r>
        <w:rPr>
          <w:u w:val="none"/>
        </w:rPr>
        <w:t>：</w:t>
      </w:r>
      <w:r>
        <w:rPr>
          <w:u w:val="single"/>
        </w:rPr>
        <w:t xml:space="preserve">                 </w:t>
      </w:r>
      <w:r>
        <w:t xml:space="preserve"> </w:t>
      </w:r>
      <w:r>
        <w:rPr>
          <w:rFonts w:hint="eastAsia"/>
          <w:lang w:val="en-US" w:eastAsia="zh-CN"/>
        </w:rPr>
        <w:t>，</w:t>
      </w:r>
      <w:r>
        <w:t>的投标活动，并进行投标。为此：</w:t>
      </w:r>
    </w:p>
    <w:p w14:paraId="3AA48CDE">
      <w:pPr>
        <w:pStyle w:val="22"/>
        <w:ind w:firstLine="480"/>
        <w:rPr>
          <w:rFonts w:hint="default"/>
        </w:rPr>
      </w:pPr>
      <w:r>
        <w:t>1、总投标价格详见开标一览表。</w:t>
      </w:r>
    </w:p>
    <w:p w14:paraId="06D32FDC">
      <w:pPr>
        <w:pStyle w:val="22"/>
        <w:ind w:firstLine="480"/>
        <w:rPr>
          <w:rFonts w:hint="default"/>
        </w:rPr>
      </w:pPr>
      <w:r>
        <w:t>2、我单位保证遵守招标文件中的有关规定，并保证忠实地执行甲乙双方所签的经济合同，并承担合同规定的责任义务。</w:t>
      </w:r>
    </w:p>
    <w:p w14:paraId="51AE6841">
      <w:pPr>
        <w:pStyle w:val="22"/>
        <w:ind w:firstLine="480"/>
        <w:rPr>
          <w:rFonts w:hint="default"/>
        </w:rPr>
      </w:pPr>
      <w:r>
        <w:t>3、我单位同意按采购人要求提供任何与本项投标有关的数据、情况和资料。</w:t>
      </w:r>
    </w:p>
    <w:p w14:paraId="0599BAE6">
      <w:pPr>
        <w:pStyle w:val="22"/>
        <w:ind w:firstLine="480"/>
        <w:rPr>
          <w:rFonts w:hint="default"/>
        </w:rPr>
      </w:pPr>
      <w:r>
        <w:t>4、我单位保证按本项目招标文件中规定的条款参与投标活动，并为自身的行为承担相应的责任。我单位出现违反国家法律法规和本项目招标文件规定的行为，愿意接受相应的处罚并承担由此引起的赔偿责任。</w:t>
      </w:r>
    </w:p>
    <w:p w14:paraId="6DF15CC3">
      <w:pPr>
        <w:pStyle w:val="22"/>
        <w:ind w:firstLine="480"/>
        <w:rPr>
          <w:rFonts w:hint="default"/>
        </w:rPr>
      </w:pPr>
      <w:r>
        <w:t>5、本投标自开标之日起90日内有效。</w:t>
      </w:r>
    </w:p>
    <w:p w14:paraId="49C01E9A">
      <w:pPr>
        <w:pStyle w:val="22"/>
        <w:ind w:firstLine="480"/>
        <w:rPr>
          <w:rFonts w:hint="default"/>
        </w:rPr>
      </w:pPr>
      <w:r>
        <w:t>6、我单位已经详细审查全部招标文件，包括修改文件（如有的话）以及全部参考资料和有关附件，我们完全理解并同意放弃对这方面有不明及误解的权力。</w:t>
      </w:r>
    </w:p>
    <w:p w14:paraId="7D7F1E14">
      <w:pPr>
        <w:pStyle w:val="22"/>
        <w:ind w:firstLine="480"/>
        <w:rPr>
          <w:rFonts w:hint="default"/>
        </w:rPr>
      </w:pPr>
      <w:r>
        <w:t>7、在规定的开标时间后（在投标有效期内），如果我们撤回投标，我们按照采购文件约定向利益受损方承担赔偿责任。</w:t>
      </w:r>
    </w:p>
    <w:p w14:paraId="41447FAE">
      <w:pPr>
        <w:pStyle w:val="22"/>
        <w:ind w:firstLine="480"/>
        <w:rPr>
          <w:rFonts w:hint="default"/>
        </w:rPr>
      </w:pPr>
      <w:r>
        <w:t>8、我单位完全理解贵方不一定要接受最低价的投标或收到的任何投标。</w:t>
      </w:r>
    </w:p>
    <w:p w14:paraId="626558D5">
      <w:pPr>
        <w:pStyle w:val="22"/>
        <w:ind w:firstLine="480"/>
        <w:rPr>
          <w:rFonts w:hint="default"/>
        </w:rPr>
      </w:pPr>
    </w:p>
    <w:p w14:paraId="63DCAD22">
      <w:pPr>
        <w:pStyle w:val="22"/>
        <w:ind w:firstLine="480"/>
        <w:rPr>
          <w:rFonts w:hint="default"/>
        </w:rPr>
      </w:pPr>
      <w:r>
        <w:t>法定代表人或授权委托人签字：</w:t>
      </w:r>
    </w:p>
    <w:p w14:paraId="491F6835">
      <w:pPr>
        <w:pStyle w:val="22"/>
        <w:ind w:firstLine="480"/>
        <w:rPr>
          <w:rFonts w:hint="default"/>
        </w:rPr>
      </w:pPr>
    </w:p>
    <w:p w14:paraId="3EDC0B05">
      <w:pPr>
        <w:pStyle w:val="22"/>
        <w:ind w:firstLine="480"/>
        <w:rPr>
          <w:rFonts w:hint="default"/>
        </w:rPr>
      </w:pPr>
      <w:r>
        <w:t>供应商全称公章：</w:t>
      </w:r>
    </w:p>
    <w:p w14:paraId="04B6B691">
      <w:pPr>
        <w:pStyle w:val="22"/>
        <w:ind w:firstLine="480"/>
        <w:rPr>
          <w:rFonts w:hint="default"/>
        </w:rPr>
      </w:pPr>
    </w:p>
    <w:p w14:paraId="47726C61">
      <w:pPr>
        <w:pStyle w:val="22"/>
        <w:ind w:firstLine="480"/>
        <w:rPr>
          <w:rFonts w:hint="default"/>
        </w:rPr>
      </w:pPr>
      <w:r>
        <w:rPr>
          <w:lang w:eastAsia="zh-Hans"/>
        </w:rPr>
        <w:t>日期：    年  月  日</w:t>
      </w:r>
    </w:p>
    <w:p w14:paraId="737287C0">
      <w:pPr>
        <w:pStyle w:val="22"/>
        <w:ind w:firstLine="480"/>
        <w:rPr>
          <w:rFonts w:hint="default"/>
        </w:rPr>
      </w:pPr>
      <w:r>
        <w:br w:type="page"/>
      </w:r>
    </w:p>
    <w:p w14:paraId="2DA31B92">
      <w:pPr>
        <w:spacing w:before="156" w:beforeLines="50"/>
        <w:jc w:val="center"/>
        <w:outlineLvl w:val="2"/>
        <w:rPr>
          <w:rFonts w:hint="eastAsia" w:ascii="仿宋" w:hAnsi="仿宋" w:eastAsia="仿宋" w:cs="仿宋"/>
          <w:b/>
          <w:sz w:val="30"/>
          <w:szCs w:val="30"/>
        </w:rPr>
      </w:pPr>
      <w:r>
        <w:rPr>
          <w:rFonts w:hint="eastAsia" w:ascii="仿宋" w:hAnsi="仿宋" w:eastAsia="仿宋" w:cs="仿宋"/>
          <w:b/>
          <w:sz w:val="30"/>
          <w:szCs w:val="30"/>
        </w:rPr>
        <w:t>二、报价一览表</w:t>
      </w:r>
    </w:p>
    <w:p w14:paraId="57EADE0B">
      <w:pPr>
        <w:spacing w:after="120"/>
        <w:ind w:left="420" w:leftChars="200" w:firstLine="420"/>
        <w:rPr>
          <w:rFonts w:ascii="Times New Roman" w:hAnsi="Times New Roman" w:eastAsia="宋体" w:cs="Times New Roman"/>
        </w:rPr>
      </w:pPr>
    </w:p>
    <w:p w14:paraId="6FD5EEF0">
      <w:pPr>
        <w:spacing w:line="360" w:lineRule="auto"/>
        <w:rPr>
          <w:sz w:val="24"/>
        </w:rPr>
      </w:pPr>
      <w:r>
        <w:rPr>
          <w:rFonts w:hint="eastAsia"/>
          <w:sz w:val="24"/>
          <w:lang w:val="en-US" w:eastAsia="zh-CN"/>
        </w:rPr>
        <w:t>项目</w:t>
      </w:r>
      <w:r>
        <w:rPr>
          <w:rFonts w:hint="eastAsia"/>
          <w:sz w:val="24"/>
        </w:rPr>
        <w:t>名称：</w:t>
      </w:r>
    </w:p>
    <w:p w14:paraId="4295E670">
      <w:pPr>
        <w:spacing w:line="360" w:lineRule="auto"/>
        <w:rPr>
          <w:rFonts w:hint="eastAsia"/>
          <w:sz w:val="24"/>
        </w:rPr>
      </w:pPr>
      <w:r>
        <w:rPr>
          <w:rFonts w:hint="eastAsia"/>
          <w:sz w:val="24"/>
          <w:lang w:val="en-US" w:eastAsia="zh-CN"/>
        </w:rPr>
        <w:t>项目</w:t>
      </w:r>
      <w:r>
        <w:rPr>
          <w:rFonts w:hint="eastAsia"/>
          <w:sz w:val="24"/>
        </w:rPr>
        <w:t>编号：</w:t>
      </w:r>
    </w:p>
    <w:tbl>
      <w:tblPr>
        <w:tblStyle w:val="15"/>
        <w:tblW w:w="80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1"/>
        <w:gridCol w:w="3560"/>
      </w:tblGrid>
      <w:tr w14:paraId="769C9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4531" w:type="dxa"/>
            <w:vAlign w:val="center"/>
          </w:tcPr>
          <w:p w14:paraId="6CFACAEC">
            <w:pPr>
              <w:pStyle w:val="7"/>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3560" w:type="dxa"/>
            <w:vAlign w:val="center"/>
          </w:tcPr>
          <w:p w14:paraId="35AE4D1D">
            <w:pPr>
              <w:pStyle w:val="7"/>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总价（元）</w:t>
            </w:r>
          </w:p>
        </w:tc>
      </w:tr>
      <w:tr w14:paraId="146ED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4531" w:type="dxa"/>
            <w:vAlign w:val="center"/>
          </w:tcPr>
          <w:p w14:paraId="2B0C1C7A">
            <w:pPr>
              <w:pStyle w:val="7"/>
              <w:keepNext w:val="0"/>
              <w:keepLines w:val="0"/>
              <w:suppressLineNumbers w:val="0"/>
              <w:spacing w:before="0" w:beforeAutospacing="0" w:after="0" w:afterAutospacing="0"/>
              <w:ind w:left="0" w:right="0"/>
              <w:rPr>
                <w:rFonts w:hint="eastAsia" w:ascii="宋体" w:hAnsi="宋体" w:eastAsia="宋体" w:cs="宋体"/>
                <w:sz w:val="24"/>
                <w:szCs w:val="24"/>
              </w:rPr>
            </w:pPr>
          </w:p>
        </w:tc>
        <w:tc>
          <w:tcPr>
            <w:tcW w:w="3560" w:type="dxa"/>
            <w:vAlign w:val="center"/>
          </w:tcPr>
          <w:p w14:paraId="7BDC841F">
            <w:pPr>
              <w:pStyle w:val="7"/>
              <w:keepNext w:val="0"/>
              <w:keepLines w:val="0"/>
              <w:suppressLineNumbers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sz w:val="24"/>
                <w:szCs w:val="24"/>
              </w:rPr>
              <w:t xml:space="preserve">小写：       </w:t>
            </w:r>
          </w:p>
          <w:p w14:paraId="128947FC">
            <w:pPr>
              <w:pStyle w:val="24"/>
              <w:keepNext w:val="0"/>
              <w:keepLines w:val="0"/>
              <w:suppressLineNumbers w:val="0"/>
              <w:spacing w:before="0" w:beforeAutospacing="0" w:after="0" w:afterAutospacing="0"/>
              <w:ind w:left="0" w:right="0"/>
              <w:rPr>
                <w:rFonts w:hint="eastAsia" w:ascii="宋体" w:hAnsi="宋体" w:eastAsia="宋体" w:cs="宋体"/>
                <w:sz w:val="24"/>
                <w:szCs w:val="24"/>
              </w:rPr>
            </w:pPr>
            <w:r>
              <w:rPr>
                <w:rFonts w:hint="eastAsia" w:ascii="宋体" w:hAnsi="宋体" w:eastAsia="宋体" w:cs="宋体"/>
                <w:sz w:val="24"/>
                <w:szCs w:val="24"/>
              </w:rPr>
              <w:t xml:space="preserve">大写：       </w:t>
            </w:r>
          </w:p>
        </w:tc>
      </w:tr>
    </w:tbl>
    <w:p w14:paraId="593050DB">
      <w:pPr>
        <w:spacing w:after="120"/>
        <w:rPr>
          <w:rFonts w:ascii="Times New Roman" w:hAnsi="Times New Roman" w:eastAsia="宋体" w:cs="Times New Roman"/>
        </w:rPr>
      </w:pPr>
    </w:p>
    <w:p w14:paraId="232F6D59">
      <w:pPr>
        <w:pStyle w:val="7"/>
        <w:numPr>
          <w:ilvl w:val="0"/>
          <w:numId w:val="15"/>
        </w:numPr>
        <w:spacing w:line="360" w:lineRule="auto"/>
        <w:jc w:val="left"/>
        <w:rPr>
          <w:rFonts w:hint="eastAsia" w:cs="Times New Roman"/>
          <w:sz w:val="24"/>
          <w:szCs w:val="22"/>
        </w:rPr>
      </w:pPr>
      <w:r>
        <w:rPr>
          <w:rFonts w:hint="eastAsia" w:cs="Times New Roman"/>
          <w:sz w:val="24"/>
          <w:szCs w:val="22"/>
        </w:rPr>
        <w:t>报价一览表中的投标</w:t>
      </w:r>
      <w:r>
        <w:rPr>
          <w:rFonts w:hint="eastAsia" w:cs="Times New Roman"/>
          <w:sz w:val="24"/>
          <w:szCs w:val="22"/>
          <w:lang w:val="en-US" w:eastAsia="zh-CN"/>
        </w:rPr>
        <w:t>价格</w:t>
      </w:r>
      <w:r>
        <w:rPr>
          <w:rFonts w:hint="eastAsia" w:cs="Times New Roman"/>
          <w:sz w:val="24"/>
          <w:szCs w:val="22"/>
        </w:rPr>
        <w:t>，</w:t>
      </w:r>
      <w:r>
        <w:rPr>
          <w:rFonts w:hint="eastAsia" w:cs="Times New Roman"/>
          <w:b/>
          <w:bCs/>
          <w:sz w:val="24"/>
          <w:szCs w:val="22"/>
          <w:highlight w:val="none"/>
          <w:lang w:val="en-US" w:eastAsia="zh-CN"/>
        </w:rPr>
        <w:t>不得超过</w:t>
      </w:r>
      <w:r>
        <w:rPr>
          <w:rFonts w:hint="eastAsia" w:cs="Times New Roman"/>
          <w:b/>
          <w:bCs/>
          <w:sz w:val="24"/>
          <w:szCs w:val="22"/>
          <w:lang w:val="en-US" w:eastAsia="zh-CN"/>
        </w:rPr>
        <w:t>最高限价人民币160000元</w:t>
      </w:r>
      <w:r>
        <w:rPr>
          <w:rFonts w:hint="eastAsia" w:cs="Times New Roman"/>
          <w:sz w:val="24"/>
          <w:szCs w:val="22"/>
          <w:lang w:eastAsia="zh-CN"/>
        </w:rPr>
        <w:t>。</w:t>
      </w:r>
      <w:r>
        <w:rPr>
          <w:rFonts w:hint="eastAsia" w:cs="Times New Roman"/>
          <w:sz w:val="24"/>
          <w:szCs w:val="22"/>
        </w:rPr>
        <w:t>所有报价</w:t>
      </w:r>
      <w:r>
        <w:rPr>
          <w:rFonts w:cs="Times New Roman"/>
          <w:sz w:val="24"/>
          <w:szCs w:val="22"/>
        </w:rPr>
        <w:t>保留小数点后两位</w:t>
      </w:r>
      <w:r>
        <w:rPr>
          <w:rFonts w:hint="eastAsia" w:cs="Times New Roman"/>
          <w:sz w:val="24"/>
          <w:szCs w:val="22"/>
        </w:rPr>
        <w:t>。报价大写与小写不一致的，</w:t>
      </w:r>
      <w:r>
        <w:rPr>
          <w:rFonts w:hint="eastAsia" w:cs="Times New Roman"/>
          <w:b/>
          <w:bCs/>
          <w:sz w:val="24"/>
          <w:szCs w:val="22"/>
        </w:rPr>
        <w:t>以大写为准</w:t>
      </w:r>
      <w:r>
        <w:rPr>
          <w:rFonts w:hint="eastAsia" w:cs="Times New Roman"/>
          <w:sz w:val="24"/>
          <w:szCs w:val="22"/>
        </w:rPr>
        <w:t>。</w:t>
      </w:r>
    </w:p>
    <w:p w14:paraId="508825B6">
      <w:pPr>
        <w:pStyle w:val="7"/>
        <w:numPr>
          <w:ilvl w:val="0"/>
          <w:numId w:val="15"/>
        </w:numPr>
        <w:spacing w:line="360" w:lineRule="auto"/>
        <w:jc w:val="left"/>
        <w:rPr>
          <w:rFonts w:hint="eastAsia" w:cs="Times New Roman"/>
          <w:sz w:val="24"/>
          <w:szCs w:val="22"/>
        </w:rPr>
      </w:pPr>
      <w:r>
        <w:rPr>
          <w:rFonts w:hint="eastAsia" w:cs="Times New Roman"/>
          <w:sz w:val="24"/>
          <w:szCs w:val="22"/>
        </w:rPr>
        <w:t>报价一览表中的投标价格应包括但不限于投标人各项成本支出、合理的利润、应交纳的税金、完成合同所需的工作开支、政策性文件规定及合同包含的所有风险、责任等完成本项目的所有费用，所涉及产品的进口审批、报关等事宜及相关费用由</w:t>
      </w:r>
      <w:r>
        <w:rPr>
          <w:rFonts w:hint="eastAsia" w:cs="Times New Roman"/>
          <w:sz w:val="24"/>
          <w:szCs w:val="22"/>
          <w:lang w:val="en-US" w:eastAsia="zh-CN"/>
        </w:rPr>
        <w:t>供应商</w:t>
      </w:r>
      <w:r>
        <w:rPr>
          <w:rFonts w:hint="eastAsia" w:cs="Times New Roman"/>
          <w:sz w:val="24"/>
          <w:szCs w:val="22"/>
        </w:rPr>
        <w:t>承担，</w:t>
      </w:r>
      <w:r>
        <w:rPr>
          <w:rFonts w:hint="eastAsia" w:cs="Times New Roman"/>
          <w:sz w:val="24"/>
          <w:szCs w:val="22"/>
          <w:lang w:val="en-US" w:eastAsia="zh-CN"/>
        </w:rPr>
        <w:t>采购人</w:t>
      </w:r>
      <w:r>
        <w:rPr>
          <w:rFonts w:hint="eastAsia" w:cs="Times New Roman"/>
          <w:sz w:val="24"/>
          <w:szCs w:val="22"/>
        </w:rPr>
        <w:t>不再另行支付相关费用。投标人应根据上述因素自行考虑含入投标报价。</w:t>
      </w:r>
    </w:p>
    <w:p w14:paraId="00B04586">
      <w:pPr>
        <w:pStyle w:val="7"/>
        <w:numPr>
          <w:ilvl w:val="0"/>
          <w:numId w:val="15"/>
        </w:numPr>
        <w:spacing w:line="360" w:lineRule="auto"/>
        <w:jc w:val="left"/>
        <w:rPr>
          <w:rFonts w:hint="eastAsia" w:cs="Times New Roman"/>
          <w:sz w:val="24"/>
          <w:szCs w:val="22"/>
        </w:rPr>
      </w:pPr>
      <w:r>
        <w:rPr>
          <w:rFonts w:hint="eastAsia" w:cs="Times New Roman"/>
          <w:sz w:val="24"/>
          <w:szCs w:val="22"/>
        </w:rPr>
        <w:t>报价一经涂改，应在涂改处加盖供应商公章并由法定代表人或授权委托人签字，否则其投标作无效处理。</w:t>
      </w:r>
    </w:p>
    <w:p w14:paraId="00EDE9B6">
      <w:pPr>
        <w:pStyle w:val="7"/>
        <w:jc w:val="left"/>
        <w:rPr>
          <w:rFonts w:ascii="Times New Roman" w:hAnsi="Times New Roman" w:eastAsia="宋体" w:cs="Times New Roman"/>
          <w:sz w:val="24"/>
        </w:rPr>
      </w:pPr>
    </w:p>
    <w:p w14:paraId="76D85ADC">
      <w:pPr>
        <w:rPr>
          <w:rFonts w:ascii="Times New Roman" w:hAnsi="Times New Roman" w:eastAsia="宋体" w:cs="Times New Roman"/>
          <w:sz w:val="24"/>
        </w:rPr>
      </w:pPr>
      <w:r>
        <w:rPr>
          <w:rFonts w:hint="eastAsia" w:ascii="Times New Roman" w:hAnsi="Times New Roman" w:eastAsia="宋体" w:cs="Times New Roman"/>
          <w:sz w:val="24"/>
        </w:rPr>
        <w:t>法定代表人或授权委托人签字：</w:t>
      </w:r>
    </w:p>
    <w:p w14:paraId="2E37E153">
      <w:pPr>
        <w:rPr>
          <w:rFonts w:ascii="Times New Roman" w:hAnsi="Times New Roman" w:eastAsia="宋体" w:cs="Times New Roman"/>
          <w:sz w:val="24"/>
        </w:rPr>
      </w:pPr>
    </w:p>
    <w:p w14:paraId="182500CC">
      <w:pPr>
        <w:pStyle w:val="8"/>
        <w:ind w:firstLine="0" w:firstLineChars="0"/>
      </w:pPr>
    </w:p>
    <w:p w14:paraId="0FD160FF">
      <w:pPr>
        <w:rPr>
          <w:rFonts w:ascii="Times New Roman" w:hAnsi="Times New Roman" w:eastAsia="宋体" w:cs="Times New Roman"/>
          <w:sz w:val="24"/>
        </w:rPr>
      </w:pPr>
      <w:r>
        <w:rPr>
          <w:rFonts w:hint="eastAsia" w:ascii="Times New Roman" w:hAnsi="Times New Roman" w:eastAsia="宋体" w:cs="Times New Roman"/>
          <w:sz w:val="24"/>
        </w:rPr>
        <w:t>供应商全称公章：</w:t>
      </w:r>
    </w:p>
    <w:p w14:paraId="527DF6A0">
      <w:pPr>
        <w:pStyle w:val="8"/>
        <w:ind w:firstLine="0" w:firstLineChars="0"/>
      </w:pPr>
    </w:p>
    <w:p w14:paraId="74E66EBD">
      <w:pPr>
        <w:rPr>
          <w:rFonts w:ascii="Times New Roman" w:hAnsi="Times New Roman" w:eastAsia="宋体" w:cs="Times New Roman"/>
          <w:sz w:val="24"/>
          <w:lang w:eastAsia="zh-Hans"/>
        </w:rPr>
      </w:pPr>
      <w:r>
        <w:rPr>
          <w:rFonts w:hint="eastAsia" w:ascii="Times New Roman" w:hAnsi="Times New Roman" w:eastAsia="宋体" w:cs="Times New Roman"/>
          <w:sz w:val="24"/>
          <w:lang w:eastAsia="zh-Hans"/>
        </w:rPr>
        <w:t>日期</w:t>
      </w:r>
      <w:r>
        <w:rPr>
          <w:rFonts w:ascii="Times New Roman" w:hAnsi="Times New Roman" w:eastAsia="宋体" w:cs="Times New Roman"/>
          <w:sz w:val="24"/>
          <w:lang w:eastAsia="zh-Hans"/>
        </w:rPr>
        <w:t xml:space="preserve">： </w:t>
      </w:r>
      <w:r>
        <w:rPr>
          <w:rFonts w:hint="eastAsia" w:ascii="Times New Roman" w:hAnsi="Times New Roman" w:eastAsia="宋体" w:cs="Times New Roman"/>
          <w:sz w:val="24"/>
        </w:rPr>
        <w:t xml:space="preserve">  </w:t>
      </w:r>
      <w:r>
        <w:rPr>
          <w:rFonts w:ascii="Times New Roman" w:hAnsi="Times New Roman" w:eastAsia="宋体" w:cs="Times New Roman"/>
          <w:sz w:val="24"/>
          <w:lang w:eastAsia="zh-Hans"/>
        </w:rPr>
        <w:t xml:space="preserve">   </w:t>
      </w:r>
      <w:r>
        <w:rPr>
          <w:rFonts w:hint="eastAsia" w:ascii="Times New Roman" w:hAnsi="Times New Roman" w:eastAsia="宋体" w:cs="Times New Roman"/>
          <w:sz w:val="24"/>
          <w:lang w:eastAsia="zh-Hans"/>
        </w:rPr>
        <w:t>年</w:t>
      </w:r>
      <w:r>
        <w:rPr>
          <w:rFonts w:ascii="Times New Roman" w:hAnsi="Times New Roman" w:eastAsia="宋体" w:cs="Times New Roman"/>
          <w:sz w:val="24"/>
          <w:lang w:eastAsia="zh-Hans"/>
        </w:rPr>
        <w:t xml:space="preserve">  </w:t>
      </w:r>
      <w:r>
        <w:rPr>
          <w:rFonts w:hint="eastAsia" w:ascii="Times New Roman" w:hAnsi="Times New Roman" w:eastAsia="宋体" w:cs="Times New Roman"/>
          <w:sz w:val="24"/>
        </w:rPr>
        <w:t xml:space="preserve">  </w:t>
      </w:r>
      <w:r>
        <w:rPr>
          <w:rFonts w:hint="eastAsia" w:ascii="Times New Roman" w:hAnsi="Times New Roman" w:eastAsia="宋体" w:cs="Times New Roman"/>
          <w:sz w:val="24"/>
          <w:lang w:eastAsia="zh-Hans"/>
        </w:rPr>
        <w:t>月</w:t>
      </w:r>
      <w:r>
        <w:rPr>
          <w:rFonts w:ascii="Times New Roman" w:hAnsi="Times New Roman" w:eastAsia="宋体" w:cs="Times New Roman"/>
          <w:sz w:val="24"/>
          <w:lang w:eastAsia="zh-Hans"/>
        </w:rPr>
        <w:t xml:space="preserve">  </w:t>
      </w:r>
      <w:r>
        <w:rPr>
          <w:rFonts w:hint="eastAsia" w:ascii="Times New Roman" w:hAnsi="Times New Roman" w:eastAsia="宋体" w:cs="Times New Roman"/>
          <w:sz w:val="24"/>
        </w:rPr>
        <w:t xml:space="preserve">  </w:t>
      </w:r>
      <w:r>
        <w:rPr>
          <w:rFonts w:hint="eastAsia" w:ascii="Times New Roman" w:hAnsi="Times New Roman" w:eastAsia="宋体" w:cs="Times New Roman"/>
          <w:sz w:val="24"/>
          <w:lang w:eastAsia="zh-Hans"/>
        </w:rPr>
        <w:t>日</w:t>
      </w:r>
    </w:p>
    <w:p w14:paraId="4C3F2961">
      <w:pPr>
        <w:pStyle w:val="22"/>
        <w:ind w:firstLine="0" w:firstLineChars="0"/>
        <w:rPr>
          <w:rFonts w:ascii="仿宋" w:hAnsi="仿宋" w:eastAsia="仿宋" w:cs="仿宋"/>
          <w:b/>
          <w:sz w:val="30"/>
          <w:szCs w:val="30"/>
        </w:rPr>
      </w:pPr>
    </w:p>
    <w:p w14:paraId="4E64FA5B">
      <w:pPr>
        <w:pStyle w:val="22"/>
        <w:ind w:firstLine="0" w:firstLineChars="0"/>
        <w:rPr>
          <w:rFonts w:ascii="仿宋" w:hAnsi="仿宋" w:eastAsia="仿宋" w:cs="仿宋"/>
          <w:b/>
          <w:sz w:val="30"/>
          <w:szCs w:val="30"/>
        </w:rPr>
      </w:pPr>
    </w:p>
    <w:p w14:paraId="2386472A">
      <w:pPr>
        <w:pStyle w:val="22"/>
        <w:ind w:firstLine="0" w:firstLineChars="0"/>
        <w:rPr>
          <w:rFonts w:ascii="仿宋" w:hAnsi="仿宋" w:eastAsia="仿宋" w:cs="仿宋"/>
          <w:b/>
          <w:sz w:val="30"/>
          <w:szCs w:val="30"/>
        </w:rPr>
      </w:pPr>
    </w:p>
    <w:p w14:paraId="76B24D52">
      <w:pPr>
        <w:pStyle w:val="22"/>
        <w:ind w:firstLine="0" w:firstLineChars="0"/>
        <w:rPr>
          <w:rFonts w:ascii="仿宋" w:hAnsi="仿宋" w:eastAsia="仿宋" w:cs="仿宋"/>
          <w:b/>
          <w:sz w:val="30"/>
          <w:szCs w:val="30"/>
        </w:rPr>
      </w:pPr>
    </w:p>
    <w:p w14:paraId="2ABDC7FA">
      <w:pPr>
        <w:pStyle w:val="22"/>
        <w:ind w:firstLine="0" w:firstLineChars="0"/>
        <w:rPr>
          <w:rFonts w:ascii="仿宋" w:hAnsi="仿宋" w:eastAsia="仿宋" w:cs="仿宋"/>
          <w:b/>
          <w:sz w:val="30"/>
          <w:szCs w:val="30"/>
        </w:rPr>
      </w:pPr>
    </w:p>
    <w:p w14:paraId="41F3F07E">
      <w:pPr>
        <w:pStyle w:val="22"/>
        <w:ind w:firstLine="0" w:firstLineChars="0"/>
        <w:outlineLvl w:val="2"/>
        <w:rPr>
          <w:rFonts w:ascii="仿宋" w:hAnsi="仿宋" w:eastAsia="仿宋" w:cs="仿宋"/>
          <w:b/>
          <w:sz w:val="30"/>
          <w:szCs w:val="30"/>
        </w:rPr>
      </w:pPr>
      <w:r>
        <w:rPr>
          <w:rFonts w:ascii="仿宋" w:hAnsi="仿宋" w:eastAsia="仿宋" w:cs="仿宋"/>
          <w:b/>
          <w:sz w:val="30"/>
          <w:szCs w:val="30"/>
        </w:rPr>
        <w:t>三、其他供应商认为有需要提交的资料</w:t>
      </w:r>
    </w:p>
    <w:p w14:paraId="3EF9CFE3"/>
    <w:p w14:paraId="0E94CFE0">
      <w:pPr>
        <w:spacing w:line="360" w:lineRule="auto"/>
        <w:rPr>
          <w:rFonts w:hint="eastAsia" w:ascii="仿宋" w:hAnsi="仿宋" w:eastAsia="仿宋" w:cs="仿宋"/>
          <w:b/>
          <w:sz w:val="44"/>
          <w:szCs w:val="44"/>
        </w:rPr>
      </w:pPr>
    </w:p>
    <w:p w14:paraId="2660D4B5">
      <w:pPr>
        <w:pStyle w:val="5"/>
        <w:rPr>
          <w:rFonts w:hint="eastAsia"/>
        </w:rPr>
      </w:pPr>
    </w:p>
    <w:p w14:paraId="7D14353F">
      <w:pPr>
        <w:rPr>
          <w:rFonts w:hint="eastAsia"/>
          <w:lang w:val="en-US" w:eastAsia="zh-CN"/>
        </w:rPr>
      </w:pPr>
    </w:p>
    <w:sectPr>
      <w:pgSz w:w="11906" w:h="16838"/>
      <w:pgMar w:top="1134" w:right="1531" w:bottom="992" w:left="153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74C96">
    <w:pPr>
      <w:pStyle w:val="11"/>
      <w:tabs>
        <w:tab w:val="center" w:pos="4422"/>
        <w:tab w:val="clear" w:pos="4153"/>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DCD89">
    <w:pPr>
      <w:pStyle w:val="11"/>
      <w:tabs>
        <w:tab w:val="center" w:pos="4422"/>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693C31">
                          <w:pPr>
                            <w:pStyle w:val="11"/>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5693C31">
                    <w:pPr>
                      <w:pStyle w:val="11"/>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A2F64">
    <w:pPr>
      <w:pStyle w:val="11"/>
      <w:tabs>
        <w:tab w:val="center" w:pos="4422"/>
        <w:tab w:val="clear" w:pos="4153"/>
      </w:tabs>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0E7AFB">
                          <w:pPr>
                            <w:pStyle w:val="11"/>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70E7AFB">
                    <w:pPr>
                      <w:pStyle w:val="11"/>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8A503">
    <w:pPr>
      <w:pStyle w:val="11"/>
      <w:tabs>
        <w:tab w:val="center" w:pos="4422"/>
        <w:tab w:val="clear" w:pos="4153"/>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5144B6">
                          <w:pPr>
                            <w:pStyle w:val="11"/>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35144B6">
                    <w:pPr>
                      <w:pStyle w:val="11"/>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BE9FB">
    <w:pPr>
      <w:pStyle w:val="11"/>
      <w:tabs>
        <w:tab w:val="center" w:pos="4422"/>
        <w:tab w:val="clear" w:pos="4153"/>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D8C070">
                          <w:pPr>
                            <w:pStyle w:val="11"/>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CD8C070">
                    <w:pPr>
                      <w:pStyle w:val="11"/>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D0E0A">
    <w:pPr>
      <w:pStyle w:val="13"/>
      <w:jc w:val="left"/>
    </w:pPr>
    <w:r>
      <w:rPr>
        <w:rFonts w:hint="eastAsia" w:ascii="仿宋" w:hAnsi="仿宋" w:eastAsia="仿宋" w:cs="仿宋"/>
        <w:sz w:val="22"/>
        <w:lang w:eastAsia="zh-CN"/>
      </w:rPr>
      <w:t>湖州学院消防设施年度检测及消防安全评估采购项目</w:t>
    </w:r>
    <w:r>
      <w:rPr>
        <w:rFonts w:hint="eastAsia" w:ascii="仿宋" w:hAnsi="仿宋" w:eastAsia="仿宋" w:cs="仿宋"/>
        <w:sz w:val="22"/>
      </w:rPr>
      <w:t xml:space="preserve">   </w:t>
    </w:r>
    <w:r>
      <w:rPr>
        <w:rFonts w:hint="eastAsia" w:ascii="仿宋" w:hAnsi="仿宋" w:eastAsia="仿宋" w:cs="仿宋"/>
        <w:bCs/>
        <w:sz w:val="22"/>
        <w:lang w:val="en-US" w:eastAsia="zh-CN"/>
      </w:rPr>
      <w:t xml:space="preserve">                     </w:t>
    </w:r>
    <w:r>
      <w:rPr>
        <w:rFonts w:hint="eastAsia" w:ascii="仿宋" w:hAnsi="仿宋" w:eastAsia="仿宋" w:cs="仿宋"/>
        <w:sz w:val="22"/>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07905D"/>
    <w:multiLevelType w:val="singleLevel"/>
    <w:tmpl w:val="8A07905D"/>
    <w:lvl w:ilvl="0" w:tentative="0">
      <w:start w:val="1"/>
      <w:numFmt w:val="decimal"/>
      <w:lvlText w:val="%1)"/>
      <w:lvlJc w:val="left"/>
      <w:pPr>
        <w:ind w:left="1055" w:hanging="425"/>
      </w:pPr>
      <w:rPr>
        <w:rFonts w:hint="default"/>
      </w:rPr>
    </w:lvl>
  </w:abstractNum>
  <w:abstractNum w:abstractNumId="1">
    <w:nsid w:val="96E1F77D"/>
    <w:multiLevelType w:val="singleLevel"/>
    <w:tmpl w:val="96E1F77D"/>
    <w:lvl w:ilvl="0" w:tentative="0">
      <w:start w:val="1"/>
      <w:numFmt w:val="decimal"/>
      <w:lvlText w:val="%1."/>
      <w:lvlJc w:val="left"/>
      <w:pPr>
        <w:ind w:left="845" w:hanging="425"/>
      </w:pPr>
      <w:rPr>
        <w:rFonts w:hint="default"/>
      </w:rPr>
    </w:lvl>
  </w:abstractNum>
  <w:abstractNum w:abstractNumId="2">
    <w:nsid w:val="9AA96D22"/>
    <w:multiLevelType w:val="singleLevel"/>
    <w:tmpl w:val="9AA96D22"/>
    <w:lvl w:ilvl="0" w:tentative="0">
      <w:start w:val="1"/>
      <w:numFmt w:val="decimal"/>
      <w:lvlText w:val="%1."/>
      <w:lvlJc w:val="left"/>
      <w:pPr>
        <w:ind w:left="845" w:hanging="425"/>
      </w:pPr>
      <w:rPr>
        <w:rFonts w:hint="default"/>
      </w:rPr>
    </w:lvl>
  </w:abstractNum>
  <w:abstractNum w:abstractNumId="3">
    <w:nsid w:val="A159259B"/>
    <w:multiLevelType w:val="singleLevel"/>
    <w:tmpl w:val="A159259B"/>
    <w:lvl w:ilvl="0" w:tentative="0">
      <w:start w:val="1"/>
      <w:numFmt w:val="decimal"/>
      <w:lvlText w:val="%1)"/>
      <w:lvlJc w:val="left"/>
      <w:pPr>
        <w:ind w:left="1055" w:hanging="425"/>
      </w:pPr>
      <w:rPr>
        <w:rFonts w:hint="default"/>
      </w:rPr>
    </w:lvl>
  </w:abstractNum>
  <w:abstractNum w:abstractNumId="4">
    <w:nsid w:val="D4A667CB"/>
    <w:multiLevelType w:val="singleLevel"/>
    <w:tmpl w:val="D4A667CB"/>
    <w:lvl w:ilvl="0" w:tentative="0">
      <w:start w:val="1"/>
      <w:numFmt w:val="decimal"/>
      <w:lvlText w:val="%1."/>
      <w:lvlJc w:val="left"/>
      <w:pPr>
        <w:ind w:left="845" w:hanging="425"/>
      </w:pPr>
      <w:rPr>
        <w:rFonts w:hint="default"/>
      </w:rPr>
    </w:lvl>
  </w:abstractNum>
  <w:abstractNum w:abstractNumId="5">
    <w:nsid w:val="D6B10AF7"/>
    <w:multiLevelType w:val="singleLevel"/>
    <w:tmpl w:val="D6B10AF7"/>
    <w:lvl w:ilvl="0" w:tentative="0">
      <w:start w:val="1"/>
      <w:numFmt w:val="decimal"/>
      <w:suff w:val="nothing"/>
      <w:lvlText w:val="%1、"/>
      <w:lvlJc w:val="left"/>
    </w:lvl>
  </w:abstractNum>
  <w:abstractNum w:abstractNumId="6">
    <w:nsid w:val="D86D509C"/>
    <w:multiLevelType w:val="multilevel"/>
    <w:tmpl w:val="D86D509C"/>
    <w:lvl w:ilvl="0" w:tentative="0">
      <w:start w:val="1"/>
      <w:numFmt w:val="decimal"/>
      <w:lvlText w:val="%1)"/>
      <w:lvlJc w:val="left"/>
      <w:pPr>
        <w:tabs>
          <w:tab w:val="left" w:pos="840"/>
        </w:tabs>
        <w:ind w:left="1265" w:hanging="425"/>
      </w:pPr>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7">
    <w:nsid w:val="DD0F343E"/>
    <w:multiLevelType w:val="singleLevel"/>
    <w:tmpl w:val="DD0F343E"/>
    <w:lvl w:ilvl="0" w:tentative="0">
      <w:start w:val="1"/>
      <w:numFmt w:val="decimal"/>
      <w:lvlText w:val="%1."/>
      <w:lvlJc w:val="left"/>
      <w:pPr>
        <w:ind w:left="845" w:hanging="425"/>
      </w:pPr>
      <w:rPr>
        <w:rFonts w:hint="default"/>
      </w:rPr>
    </w:lvl>
  </w:abstractNum>
  <w:abstractNum w:abstractNumId="8">
    <w:nsid w:val="DEBCE85B"/>
    <w:multiLevelType w:val="singleLevel"/>
    <w:tmpl w:val="DEBCE85B"/>
    <w:lvl w:ilvl="0" w:tentative="0">
      <w:start w:val="8"/>
      <w:numFmt w:val="chineseCounting"/>
      <w:suff w:val="nothing"/>
      <w:lvlText w:val="%1、"/>
      <w:lvlJc w:val="left"/>
      <w:rPr>
        <w:rFonts w:hint="eastAsia"/>
      </w:rPr>
    </w:lvl>
  </w:abstractNum>
  <w:abstractNum w:abstractNumId="9">
    <w:nsid w:val="FD512869"/>
    <w:multiLevelType w:val="singleLevel"/>
    <w:tmpl w:val="FD512869"/>
    <w:lvl w:ilvl="0" w:tentative="0">
      <w:start w:val="1"/>
      <w:numFmt w:val="chineseCounting"/>
      <w:suff w:val="nothing"/>
      <w:lvlText w:val="%1、"/>
      <w:lvlJc w:val="left"/>
      <w:pPr>
        <w:ind w:left="0" w:firstLine="420"/>
      </w:pPr>
      <w:rPr>
        <w:rFonts w:hint="eastAsia"/>
      </w:rPr>
    </w:lvl>
  </w:abstractNum>
  <w:abstractNum w:abstractNumId="10">
    <w:nsid w:val="416BDFD8"/>
    <w:multiLevelType w:val="singleLevel"/>
    <w:tmpl w:val="416BDFD8"/>
    <w:lvl w:ilvl="0" w:tentative="0">
      <w:start w:val="1"/>
      <w:numFmt w:val="decimal"/>
      <w:lvlText w:val="%1."/>
      <w:lvlJc w:val="left"/>
      <w:pPr>
        <w:ind w:left="845" w:hanging="425"/>
      </w:pPr>
      <w:rPr>
        <w:rFonts w:hint="default"/>
      </w:rPr>
    </w:lvl>
  </w:abstractNum>
  <w:abstractNum w:abstractNumId="11">
    <w:nsid w:val="50A7A25F"/>
    <w:multiLevelType w:val="singleLevel"/>
    <w:tmpl w:val="50A7A25F"/>
    <w:lvl w:ilvl="0" w:tentative="0">
      <w:start w:val="1"/>
      <w:numFmt w:val="decimal"/>
      <w:lvlText w:val="%1."/>
      <w:lvlJc w:val="left"/>
      <w:pPr>
        <w:ind w:left="845" w:hanging="425"/>
      </w:pPr>
      <w:rPr>
        <w:rFonts w:hint="default"/>
      </w:rPr>
    </w:lvl>
  </w:abstractNum>
  <w:abstractNum w:abstractNumId="12">
    <w:nsid w:val="536C0C02"/>
    <w:multiLevelType w:val="singleLevel"/>
    <w:tmpl w:val="536C0C02"/>
    <w:lvl w:ilvl="0" w:tentative="0">
      <w:start w:val="1"/>
      <w:numFmt w:val="decimal"/>
      <w:lvlText w:val="(%1)"/>
      <w:lvlJc w:val="left"/>
      <w:pPr>
        <w:ind w:left="635" w:hanging="425"/>
      </w:pPr>
      <w:rPr>
        <w:rFonts w:hint="default"/>
      </w:rPr>
    </w:lvl>
  </w:abstractNum>
  <w:abstractNum w:abstractNumId="13">
    <w:nsid w:val="5B278A5F"/>
    <w:multiLevelType w:val="singleLevel"/>
    <w:tmpl w:val="5B278A5F"/>
    <w:lvl w:ilvl="0" w:tentative="0">
      <w:start w:val="1"/>
      <w:numFmt w:val="decimal"/>
      <w:lvlText w:val="%1."/>
      <w:lvlJc w:val="left"/>
      <w:pPr>
        <w:tabs>
          <w:tab w:val="left" w:pos="-420"/>
        </w:tabs>
        <w:ind w:left="425" w:hanging="425"/>
      </w:pPr>
      <w:rPr>
        <w:rFonts w:hint="default"/>
      </w:rPr>
    </w:lvl>
  </w:abstractNum>
  <w:abstractNum w:abstractNumId="14">
    <w:nsid w:val="6C7C4F10"/>
    <w:multiLevelType w:val="singleLevel"/>
    <w:tmpl w:val="6C7C4F10"/>
    <w:lvl w:ilvl="0" w:tentative="0">
      <w:start w:val="1"/>
      <w:numFmt w:val="decimal"/>
      <w:lvlText w:val="(%1)"/>
      <w:lvlJc w:val="left"/>
      <w:pPr>
        <w:tabs>
          <w:tab w:val="left" w:pos="420"/>
        </w:tabs>
        <w:ind w:left="635" w:hanging="425"/>
      </w:pPr>
      <w:rPr>
        <w:rFonts w:hint="default"/>
      </w:rPr>
    </w:lvl>
  </w:abstractNum>
  <w:num w:numId="1">
    <w:abstractNumId w:val="2"/>
  </w:num>
  <w:num w:numId="2">
    <w:abstractNumId w:val="11"/>
  </w:num>
  <w:num w:numId="3">
    <w:abstractNumId w:val="10"/>
  </w:num>
  <w:num w:numId="4">
    <w:abstractNumId w:val="4"/>
  </w:num>
  <w:num w:numId="5">
    <w:abstractNumId w:val="7"/>
  </w:num>
  <w:num w:numId="6">
    <w:abstractNumId w:val="1"/>
  </w:num>
  <w:num w:numId="7">
    <w:abstractNumId w:val="14"/>
  </w:num>
  <w:num w:numId="8">
    <w:abstractNumId w:val="12"/>
  </w:num>
  <w:num w:numId="9">
    <w:abstractNumId w:val="3"/>
  </w:num>
  <w:num w:numId="10">
    <w:abstractNumId w:val="0"/>
  </w:num>
  <w:num w:numId="11">
    <w:abstractNumId w:val="8"/>
  </w:num>
  <w:num w:numId="12">
    <w:abstractNumId w:val="6"/>
  </w:num>
  <w:num w:numId="13">
    <w:abstractNumId w:val="13"/>
  </w:num>
  <w:num w:numId="14">
    <w:abstractNumId w:val="9"/>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512AC"/>
    <w:rsid w:val="0131389D"/>
    <w:rsid w:val="049D72D4"/>
    <w:rsid w:val="04E54910"/>
    <w:rsid w:val="05BA584F"/>
    <w:rsid w:val="080F78B4"/>
    <w:rsid w:val="091D7C0B"/>
    <w:rsid w:val="0A710C6F"/>
    <w:rsid w:val="0A931948"/>
    <w:rsid w:val="0B186448"/>
    <w:rsid w:val="0B966CCB"/>
    <w:rsid w:val="0BFA6843"/>
    <w:rsid w:val="0C1573E3"/>
    <w:rsid w:val="0F555FE9"/>
    <w:rsid w:val="0F957915"/>
    <w:rsid w:val="0FF55C32"/>
    <w:rsid w:val="0FFE07B9"/>
    <w:rsid w:val="114B6B8E"/>
    <w:rsid w:val="15031B79"/>
    <w:rsid w:val="153D4559"/>
    <w:rsid w:val="158162A7"/>
    <w:rsid w:val="16610551"/>
    <w:rsid w:val="167B708E"/>
    <w:rsid w:val="16B533FE"/>
    <w:rsid w:val="1DFE7359"/>
    <w:rsid w:val="1E967AD2"/>
    <w:rsid w:val="1F5E3AC0"/>
    <w:rsid w:val="1FDF7B0F"/>
    <w:rsid w:val="205E205E"/>
    <w:rsid w:val="20AA0206"/>
    <w:rsid w:val="21C4408A"/>
    <w:rsid w:val="2268551D"/>
    <w:rsid w:val="226862ED"/>
    <w:rsid w:val="25386EFA"/>
    <w:rsid w:val="253E7653"/>
    <w:rsid w:val="259D4EBE"/>
    <w:rsid w:val="264F4D6E"/>
    <w:rsid w:val="27037576"/>
    <w:rsid w:val="28162B17"/>
    <w:rsid w:val="2A0B17B3"/>
    <w:rsid w:val="2CBE7E24"/>
    <w:rsid w:val="2D7F38FC"/>
    <w:rsid w:val="2FDFC1B0"/>
    <w:rsid w:val="2FEE744F"/>
    <w:rsid w:val="30AA21A4"/>
    <w:rsid w:val="319A7175"/>
    <w:rsid w:val="326D68D7"/>
    <w:rsid w:val="32E759CC"/>
    <w:rsid w:val="34712CC2"/>
    <w:rsid w:val="35FFEA38"/>
    <w:rsid w:val="36E024F4"/>
    <w:rsid w:val="37900FFE"/>
    <w:rsid w:val="379F689D"/>
    <w:rsid w:val="37EF5C89"/>
    <w:rsid w:val="38233460"/>
    <w:rsid w:val="387D75CB"/>
    <w:rsid w:val="39BF642E"/>
    <w:rsid w:val="3D6B86BE"/>
    <w:rsid w:val="3DFFE66D"/>
    <w:rsid w:val="3F78BB79"/>
    <w:rsid w:val="3F7F5202"/>
    <w:rsid w:val="3FDBD91D"/>
    <w:rsid w:val="42840BDE"/>
    <w:rsid w:val="430E4D4B"/>
    <w:rsid w:val="44F047AF"/>
    <w:rsid w:val="455069D1"/>
    <w:rsid w:val="45DA0956"/>
    <w:rsid w:val="47FFFF51"/>
    <w:rsid w:val="486D77BB"/>
    <w:rsid w:val="49A53C07"/>
    <w:rsid w:val="4A1F7769"/>
    <w:rsid w:val="4AF9FE21"/>
    <w:rsid w:val="4E09582B"/>
    <w:rsid w:val="52294322"/>
    <w:rsid w:val="530F530A"/>
    <w:rsid w:val="559E5AB7"/>
    <w:rsid w:val="55F782D4"/>
    <w:rsid w:val="565C036D"/>
    <w:rsid w:val="57871279"/>
    <w:rsid w:val="57FEF5D3"/>
    <w:rsid w:val="592C2D22"/>
    <w:rsid w:val="5B9BB44C"/>
    <w:rsid w:val="5BB725BF"/>
    <w:rsid w:val="5FD46D69"/>
    <w:rsid w:val="60844A2D"/>
    <w:rsid w:val="61356629"/>
    <w:rsid w:val="626F4ADD"/>
    <w:rsid w:val="64CD7724"/>
    <w:rsid w:val="654F4FE5"/>
    <w:rsid w:val="677D8B1E"/>
    <w:rsid w:val="67DF9B17"/>
    <w:rsid w:val="69D845E2"/>
    <w:rsid w:val="69EF58C9"/>
    <w:rsid w:val="6A876993"/>
    <w:rsid w:val="6DF17581"/>
    <w:rsid w:val="6E1E7D37"/>
    <w:rsid w:val="6E312E78"/>
    <w:rsid w:val="6E6C6DB7"/>
    <w:rsid w:val="6F5F80DC"/>
    <w:rsid w:val="6FD202CB"/>
    <w:rsid w:val="6FDD2D60"/>
    <w:rsid w:val="70C7626D"/>
    <w:rsid w:val="73BF4EF6"/>
    <w:rsid w:val="73DBBB4A"/>
    <w:rsid w:val="75EB4C54"/>
    <w:rsid w:val="76AF3BA6"/>
    <w:rsid w:val="775FD926"/>
    <w:rsid w:val="77DBB3AA"/>
    <w:rsid w:val="78DCC15F"/>
    <w:rsid w:val="7AA85276"/>
    <w:rsid w:val="7AB7D747"/>
    <w:rsid w:val="7B7553DF"/>
    <w:rsid w:val="7BCF587C"/>
    <w:rsid w:val="7CF7A3A7"/>
    <w:rsid w:val="7D5FEBE9"/>
    <w:rsid w:val="7DAFA26F"/>
    <w:rsid w:val="7DD6C40D"/>
    <w:rsid w:val="7EFEB07F"/>
    <w:rsid w:val="7EFF1FEE"/>
    <w:rsid w:val="7F3788E3"/>
    <w:rsid w:val="7F7E6168"/>
    <w:rsid w:val="7FA35ECA"/>
    <w:rsid w:val="7FBF46F8"/>
    <w:rsid w:val="7FF72501"/>
    <w:rsid w:val="7FF7C30E"/>
    <w:rsid w:val="7FFB4C93"/>
    <w:rsid w:val="7FFCC66E"/>
    <w:rsid w:val="8657C21F"/>
    <w:rsid w:val="8FA6C02C"/>
    <w:rsid w:val="95DF9D62"/>
    <w:rsid w:val="978BEB24"/>
    <w:rsid w:val="A5F71878"/>
    <w:rsid w:val="A7EBC063"/>
    <w:rsid w:val="AA9F0607"/>
    <w:rsid w:val="ABEF15E2"/>
    <w:rsid w:val="AF6F7011"/>
    <w:rsid w:val="AFED208F"/>
    <w:rsid w:val="B7BF7474"/>
    <w:rsid w:val="BD35833F"/>
    <w:rsid w:val="BEFF30BC"/>
    <w:rsid w:val="BF9F38E2"/>
    <w:rsid w:val="BFF28B42"/>
    <w:rsid w:val="BFFE22F7"/>
    <w:rsid w:val="C7DD1D48"/>
    <w:rsid w:val="C99D35A0"/>
    <w:rsid w:val="CFFF4087"/>
    <w:rsid w:val="D1FE6608"/>
    <w:rsid w:val="D29D2845"/>
    <w:rsid w:val="DAFC02AD"/>
    <w:rsid w:val="DE6FD270"/>
    <w:rsid w:val="DF6F0629"/>
    <w:rsid w:val="DF93FC98"/>
    <w:rsid w:val="DFA7457C"/>
    <w:rsid w:val="E10A954C"/>
    <w:rsid w:val="E3EF08BD"/>
    <w:rsid w:val="E9FF5DA3"/>
    <w:rsid w:val="ECF9852A"/>
    <w:rsid w:val="EE7F4CF9"/>
    <w:rsid w:val="EEAFB5F1"/>
    <w:rsid w:val="EF23EB8A"/>
    <w:rsid w:val="EFFECDDB"/>
    <w:rsid w:val="F1B6D6D3"/>
    <w:rsid w:val="F3FA3C68"/>
    <w:rsid w:val="F4FB7D61"/>
    <w:rsid w:val="F6FC3B3E"/>
    <w:rsid w:val="F7F71DAF"/>
    <w:rsid w:val="F85703EC"/>
    <w:rsid w:val="F85EC2DF"/>
    <w:rsid w:val="F9BF403A"/>
    <w:rsid w:val="FB5FB9DF"/>
    <w:rsid w:val="FBDE8C15"/>
    <w:rsid w:val="FBFFBE70"/>
    <w:rsid w:val="FCF22711"/>
    <w:rsid w:val="FE2C0BCD"/>
    <w:rsid w:val="FE3A038B"/>
    <w:rsid w:val="FECF6985"/>
    <w:rsid w:val="FEDEFDF9"/>
    <w:rsid w:val="FEEE6428"/>
    <w:rsid w:val="FF1CDFCF"/>
    <w:rsid w:val="FF6F66F5"/>
    <w:rsid w:val="FF744219"/>
    <w:rsid w:val="FFBFF55D"/>
    <w:rsid w:val="FFD74907"/>
    <w:rsid w:val="FFEF729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200" w:beforeLines="0" w:beforeAutospacing="0" w:after="200" w:afterLines="0" w:afterAutospacing="0" w:line="480" w:lineRule="auto"/>
      <w:outlineLvl w:val="0"/>
    </w:pPr>
    <w:rPr>
      <w:rFonts w:eastAsia="仿宋" w:asciiTheme="minorAscii" w:hAnsiTheme="minorAscii"/>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140" w:beforeLines="0" w:beforeAutospacing="0" w:after="140" w:afterLines="0" w:afterAutospacing="0" w:line="360" w:lineRule="auto"/>
      <w:outlineLvl w:val="2"/>
    </w:pPr>
    <w:rPr>
      <w:rFonts w:ascii="Times New Roman" w:hAnsi="Times New Roman" w:eastAsia="仿宋"/>
      <w:b/>
      <w:sz w:val="28"/>
    </w:rPr>
  </w:style>
  <w:style w:type="character" w:default="1" w:styleId="17">
    <w:name w:val="Default Paragraph Font"/>
    <w:semiHidden/>
    <w:qFormat/>
    <w:uiPriority w:val="0"/>
  </w:style>
  <w:style w:type="table" w:default="1" w:styleId="15">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toa heading"/>
    <w:basedOn w:val="1"/>
    <w:next w:val="1"/>
    <w:unhideWhenUsed/>
    <w:qFormat/>
    <w:uiPriority w:val="99"/>
    <w:pPr>
      <w:spacing w:before="120"/>
    </w:pPr>
    <w:rPr>
      <w:rFonts w:ascii="Arial" w:hAnsi="Arial" w:cs="Arial"/>
      <w:sz w:val="24"/>
    </w:rPr>
  </w:style>
  <w:style w:type="paragraph" w:styleId="6">
    <w:name w:val="annotation text"/>
    <w:basedOn w:val="1"/>
    <w:qFormat/>
    <w:uiPriority w:val="0"/>
    <w:pPr>
      <w:jc w:val="left"/>
    </w:pPr>
  </w:style>
  <w:style w:type="paragraph" w:styleId="7">
    <w:name w:val="Body Text"/>
    <w:basedOn w:val="1"/>
    <w:next w:val="8"/>
    <w:qFormat/>
    <w:uiPriority w:val="0"/>
    <w:pPr>
      <w:spacing w:after="120"/>
    </w:pPr>
    <w:rPr>
      <w:rFonts w:ascii="宋体" w:hAnsi="宋体"/>
      <w:sz w:val="28"/>
    </w:rPr>
  </w:style>
  <w:style w:type="paragraph" w:styleId="8">
    <w:name w:val="Body Text First Indent"/>
    <w:basedOn w:val="7"/>
    <w:next w:val="1"/>
    <w:qFormat/>
    <w:uiPriority w:val="0"/>
    <w:pPr>
      <w:ind w:firstLine="420" w:firstLineChars="100"/>
    </w:pPr>
    <w:rPr>
      <w:rFonts w:ascii="Times New Roman" w:hAnsi="Times New Roman" w:eastAsia="宋体" w:cs="Times New Roman"/>
    </w:rPr>
  </w:style>
  <w:style w:type="paragraph" w:styleId="9">
    <w:name w:val="Body Text Indent"/>
    <w:basedOn w:val="1"/>
    <w:unhideWhenUsed/>
    <w:qFormat/>
    <w:uiPriority w:val="0"/>
    <w:pPr>
      <w:spacing w:beforeLines="0" w:after="120" w:afterLines="0"/>
      <w:ind w:left="420" w:leftChars="200"/>
    </w:pPr>
    <w:rPr>
      <w:rFonts w:hint="default"/>
      <w:sz w:val="21"/>
      <w:szCs w:val="24"/>
    </w:rPr>
  </w:style>
  <w:style w:type="paragraph" w:styleId="10">
    <w:name w:val="Plain Text"/>
    <w:basedOn w:val="1"/>
    <w:qFormat/>
    <w:uiPriority w:val="0"/>
    <w:pPr>
      <w:keepNext w:val="0"/>
      <w:keepLines w:val="0"/>
      <w:widowControl w:val="0"/>
      <w:suppressLineNumbers w:val="0"/>
      <w:spacing w:before="0" w:beforeAutospacing="0" w:after="0" w:afterAutospacing="0"/>
      <w:ind w:left="0" w:right="0"/>
      <w:jc w:val="both"/>
    </w:pPr>
    <w:rPr>
      <w:rFonts w:hint="eastAsia" w:ascii="宋体" w:hAnsi="Courier New" w:eastAsia="楷体_GB2312" w:cs="Times New Roman"/>
      <w:color w:val="000000"/>
      <w:kern w:val="0"/>
      <w:sz w:val="32"/>
      <w:szCs w:val="32"/>
      <w:lang w:val="en-US" w:eastAsia="zh-CN" w:bidi="ar"/>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envelope return"/>
    <w:basedOn w:val="1"/>
    <w:unhideWhenUsed/>
    <w:qFormat/>
    <w:uiPriority w:val="0"/>
    <w:pPr>
      <w:widowControl/>
      <w:adjustRightInd w:val="0"/>
      <w:snapToGrid w:val="0"/>
      <w:spacing w:beforeLines="0" w:after="200" w:afterLines="0"/>
      <w:jc w:val="left"/>
    </w:pPr>
    <w:rPr>
      <w:rFonts w:hint="default" w:ascii="Arial" w:hAnsi="Arial" w:eastAsia="微软雅黑"/>
      <w:kern w:val="0"/>
      <w:sz w:val="22"/>
      <w:szCs w:val="22"/>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qFormat/>
    <w:uiPriority w:val="0"/>
    <w:rPr>
      <w:sz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FollowedHyperlink"/>
    <w:basedOn w:val="17"/>
    <w:qFormat/>
    <w:uiPriority w:val="0"/>
    <w:rPr>
      <w:color w:val="800080"/>
      <w:u w:val="single"/>
    </w:rPr>
  </w:style>
  <w:style w:type="character" w:styleId="19">
    <w:name w:val="Hyperlink"/>
    <w:unhideWhenUsed/>
    <w:qFormat/>
    <w:uiPriority w:val="99"/>
    <w:rPr>
      <w:color w:val="0563C1"/>
      <w:u w:val="single"/>
    </w:rPr>
  </w:style>
  <w:style w:type="paragraph" w:customStyle="1" w:styleId="20">
    <w:name w:val="wy一级标题"/>
    <w:basedOn w:val="1"/>
    <w:next w:val="1"/>
    <w:qFormat/>
    <w:uiPriority w:val="0"/>
    <w:pPr>
      <w:jc w:val="center"/>
    </w:pPr>
    <w:rPr>
      <w:rFonts w:hint="eastAsia" w:ascii="Times New Roman" w:hAnsi="Times New Roman" w:eastAsia="宋体" w:cs="Times New Roman"/>
      <w:b/>
      <w:sz w:val="36"/>
    </w:rPr>
  </w:style>
  <w:style w:type="paragraph" w:customStyle="1" w:styleId="21">
    <w:name w:val="wy二级标题"/>
    <w:basedOn w:val="1"/>
    <w:next w:val="1"/>
    <w:qFormat/>
    <w:uiPriority w:val="0"/>
    <w:pPr>
      <w:keepNext/>
      <w:keepLines/>
      <w:spacing w:line="360" w:lineRule="auto"/>
      <w:jc w:val="left"/>
      <w:outlineLvl w:val="1"/>
    </w:pPr>
    <w:rPr>
      <w:rFonts w:hint="eastAsia" w:ascii="Times New Roman" w:hAnsi="Times New Roman" w:eastAsia="宋体"/>
      <w:b/>
      <w:sz w:val="28"/>
    </w:rPr>
  </w:style>
  <w:style w:type="paragraph" w:customStyle="1" w:styleId="22">
    <w:name w:val="wy三级标题"/>
    <w:basedOn w:val="1"/>
    <w:qFormat/>
    <w:uiPriority w:val="0"/>
    <w:pPr>
      <w:spacing w:line="360" w:lineRule="auto"/>
      <w:ind w:firstLine="1044" w:firstLineChars="200"/>
    </w:pPr>
    <w:rPr>
      <w:rFonts w:hint="eastAsia" w:ascii="Times New Roman" w:hAnsi="Times New Roman" w:eastAsia="宋体" w:cs="Times New Roman"/>
      <w:sz w:val="24"/>
    </w:rPr>
  </w:style>
  <w:style w:type="paragraph" w:styleId="23">
    <w:name w:val="List Paragraph"/>
    <w:basedOn w:val="1"/>
    <w:qFormat/>
    <w:uiPriority w:val="34"/>
    <w:pPr>
      <w:ind w:firstLine="420" w:firstLineChars="200"/>
    </w:p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5">
    <w:name w:val="15"/>
    <w:basedOn w:val="17"/>
    <w:qFormat/>
    <w:uiPriority w:val="0"/>
    <w:rPr>
      <w:rFonts w:hint="default" w:ascii="Times New Roman" w:hAnsi="Times New Roman" w:cs="Times New Roman"/>
      <w:b/>
    </w:rPr>
  </w:style>
  <w:style w:type="character" w:customStyle="1" w:styleId="26">
    <w:name w:val="10"/>
    <w:basedOn w:val="17"/>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38</Pages>
  <Words>5295</Words>
  <Characters>5725</Characters>
  <Lines>1</Lines>
  <Paragraphs>1</Paragraphs>
  <TotalTime>59</TotalTime>
  <ScaleCrop>false</ScaleCrop>
  <LinksUpToDate>false</LinksUpToDate>
  <CharactersWithSpaces>5829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2025-10-18T00:56:00Z</dcterms:created>
  <dc:creator>wwwyyy0001</dc:creator>
  <cp:lastModifiedBy>湖州学院采购事务中心</cp:lastModifiedBy>
  <cp:lastPrinted>2026-07-21T17:41:00Z</cp:lastPrinted>
  <dcterms:modified xsi:type="dcterms:W3CDTF">2026-10-13T06:45:29Z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D0C0576A08DF42D5EEFCC96ACD9D4556_43</vt:lpwstr>
  </property>
  <property fmtid="{D5CDD505-2E9C-101B-9397-08002B2CF9AE}" pid="4" name="KSOTemplateDocerSaveRecord">
    <vt:lpwstr>eyJoZGlkIjoiOWUyZDNlYzgyNDJhOGZlYWE3Yzc3MGU3OWQ5ZDc5ZTciLCJ1c2VySWQiOiIxOTA2NzU4MTA3In0=</vt:lpwstr>
  </property>
</Properties>
</file>