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21696">
      <w:pPr>
        <w:spacing w:line="360" w:lineRule="auto"/>
        <w:jc w:val="center"/>
        <w:rPr>
          <w:rFonts w:ascii="宋体" w:hAnsi="宋体" w:cs="宋体"/>
          <w:b/>
          <w:color w:val="auto"/>
          <w:sz w:val="32"/>
          <w:szCs w:val="32"/>
          <w:highlight w:val="none"/>
        </w:rPr>
      </w:pPr>
      <w:r>
        <w:rPr>
          <w:rFonts w:hint="eastAsia" w:ascii="宋体" w:hAnsi="宋体" w:cs="仿宋_GB2312"/>
          <w:b/>
          <w:color w:val="auto"/>
          <w:sz w:val="32"/>
          <w:szCs w:val="32"/>
          <w:highlight w:val="none"/>
        </w:rPr>
        <w:t>湖州学院宣传部舆情系统服务</w:t>
      </w:r>
      <w:r>
        <w:rPr>
          <w:rFonts w:hint="eastAsia" w:ascii="宋体" w:hAnsi="宋体" w:cs="宋体"/>
          <w:b/>
          <w:color w:val="auto"/>
          <w:sz w:val="32"/>
          <w:szCs w:val="32"/>
          <w:highlight w:val="none"/>
        </w:rPr>
        <w:t>采购文件</w:t>
      </w:r>
    </w:p>
    <w:p w14:paraId="70A9EE30">
      <w:pPr>
        <w:spacing w:line="360" w:lineRule="auto"/>
        <w:ind w:firstLine="480" w:firstLineChars="200"/>
        <w:jc w:val="left"/>
        <w:rPr>
          <w:rFonts w:ascii="宋体" w:hAnsi="宋体" w:cs="宋体"/>
          <w:b/>
          <w:color w:val="auto"/>
          <w:sz w:val="32"/>
          <w:szCs w:val="32"/>
          <w:highlight w:val="none"/>
        </w:rPr>
      </w:pPr>
      <w:r>
        <w:rPr>
          <w:rFonts w:ascii="仿宋" w:hAnsi="仿宋" w:eastAsia="仿宋" w:cs="仿宋"/>
          <w:color w:val="auto"/>
          <w:sz w:val="24"/>
          <w:highlight w:val="none"/>
          <w:shd w:val="clear" w:color="auto" w:fill="FFFFFF"/>
        </w:rPr>
        <w:t>根据国家相关法律法规精神和《湖州学院采购管理办法》等规定，湖州学院采购事务中心就</w:t>
      </w:r>
      <w:r>
        <w:rPr>
          <w:rFonts w:hint="eastAsia" w:ascii="仿宋" w:hAnsi="仿宋" w:eastAsia="仿宋" w:cs="仿宋"/>
          <w:color w:val="auto"/>
          <w:kern w:val="0"/>
          <w:sz w:val="24"/>
          <w:highlight w:val="none"/>
          <w:shd w:val="clear" w:color="auto" w:fill="FFFFFF"/>
          <w:lang w:bidi="ar"/>
        </w:rPr>
        <w:t>湖州学院宣传部舆情系统服务采购项目</w:t>
      </w:r>
      <w:r>
        <w:rPr>
          <w:rFonts w:hint="eastAsia" w:ascii="仿宋" w:hAnsi="仿宋" w:eastAsia="仿宋" w:cs="仿宋"/>
          <w:color w:val="auto"/>
          <w:sz w:val="24"/>
          <w:highlight w:val="none"/>
          <w:shd w:val="clear" w:color="auto" w:fill="FFFFFF"/>
        </w:rPr>
        <w:t>进行校内公开招标，欢迎国内合格的供应商前来投标。</w:t>
      </w:r>
    </w:p>
    <w:p w14:paraId="79095533">
      <w:pPr>
        <w:rPr>
          <w:rFonts w:ascii="仿宋_GB2312" w:eastAsia="仿宋_GB2312"/>
          <w:b/>
          <w:color w:val="auto"/>
          <w:sz w:val="24"/>
          <w:highlight w:val="none"/>
        </w:rPr>
      </w:pPr>
      <w:r>
        <w:rPr>
          <w:rFonts w:hint="eastAsia" w:ascii="仿宋_GB2312" w:eastAsia="仿宋_GB2312"/>
          <w:b/>
          <w:color w:val="auto"/>
          <w:sz w:val="24"/>
          <w:highlight w:val="none"/>
        </w:rPr>
        <w:t>一、项目名称、设备清单及要求：</w:t>
      </w:r>
    </w:p>
    <w:p w14:paraId="2F411590">
      <w:pPr>
        <w:jc w:val="left"/>
        <w:rPr>
          <w:rFonts w:ascii="仿宋" w:hAnsi="仿宋" w:eastAsia="仿宋" w:cs="仿宋"/>
          <w:color w:val="auto"/>
          <w:kern w:val="0"/>
          <w:sz w:val="24"/>
          <w:highlight w:val="none"/>
          <w:shd w:val="clear" w:color="auto" w:fill="FFFFFF"/>
          <w:lang w:bidi="ar"/>
        </w:rPr>
      </w:pPr>
      <w:r>
        <w:rPr>
          <w:rFonts w:hint="eastAsia" w:ascii="仿宋_GB2312" w:eastAsia="仿宋_GB2312"/>
          <w:b/>
          <w:bCs/>
          <w:color w:val="auto"/>
          <w:sz w:val="24"/>
          <w:highlight w:val="none"/>
        </w:rPr>
        <w:t>1.项目名称：</w:t>
      </w:r>
      <w:r>
        <w:rPr>
          <w:rFonts w:hint="eastAsia" w:ascii="仿宋" w:hAnsi="仿宋" w:eastAsia="仿宋" w:cs="仿宋"/>
          <w:color w:val="auto"/>
          <w:kern w:val="0"/>
          <w:sz w:val="24"/>
          <w:highlight w:val="none"/>
          <w:shd w:val="clear" w:color="auto" w:fill="FFFFFF"/>
          <w:lang w:bidi="ar"/>
        </w:rPr>
        <w:t>湖州学院宣传部舆情系统服务采购项目</w:t>
      </w:r>
    </w:p>
    <w:p w14:paraId="26BBFCDF">
      <w:pPr>
        <w:jc w:val="left"/>
        <w:rPr>
          <w:rFonts w:hint="eastAsia" w:ascii="仿宋" w:hAnsi="仿宋" w:eastAsia="仿宋" w:cs="仿宋"/>
          <w:color w:val="auto"/>
          <w:kern w:val="0"/>
          <w:sz w:val="24"/>
          <w:highlight w:val="none"/>
          <w:shd w:val="clear" w:color="auto" w:fill="FFFFFF"/>
          <w:lang w:bidi="ar"/>
        </w:rPr>
      </w:pPr>
      <w:r>
        <w:rPr>
          <w:rFonts w:hint="eastAsia" w:ascii="仿宋_GB2312" w:eastAsia="仿宋_GB2312"/>
          <w:b/>
          <w:bCs/>
          <w:color w:val="auto"/>
          <w:sz w:val="24"/>
          <w:highlight w:val="none"/>
        </w:rPr>
        <w:t>2.采购编号</w:t>
      </w:r>
      <w:r>
        <w:rPr>
          <w:rFonts w:hint="eastAsia" w:ascii="仿宋_GB2312" w:eastAsia="仿宋_GB2312"/>
          <w:b w:val="0"/>
          <w:bCs w:val="0"/>
          <w:color w:val="auto"/>
          <w:sz w:val="24"/>
          <w:highlight w:val="none"/>
        </w:rPr>
        <w:t>：</w:t>
      </w:r>
      <w:r>
        <w:rPr>
          <w:rFonts w:hint="eastAsia" w:ascii="仿宋" w:hAnsi="仿宋" w:eastAsia="仿宋" w:cs="仿宋"/>
          <w:color w:val="auto"/>
          <w:kern w:val="0"/>
          <w:sz w:val="24"/>
          <w:highlight w:val="none"/>
          <w:shd w:val="clear" w:color="auto" w:fill="FFFFFF"/>
          <w:lang w:bidi="ar"/>
        </w:rPr>
        <w:t>XZ202</w:t>
      </w:r>
      <w:r>
        <w:rPr>
          <w:rFonts w:hint="eastAsia" w:ascii="仿宋" w:hAnsi="仿宋" w:eastAsia="仿宋" w:cs="仿宋"/>
          <w:color w:val="auto"/>
          <w:kern w:val="0"/>
          <w:sz w:val="24"/>
          <w:highlight w:val="none"/>
          <w:shd w:val="clear" w:color="auto" w:fill="FFFFFF"/>
          <w:lang w:val="en-US" w:eastAsia="zh-CN" w:bidi="ar"/>
        </w:rPr>
        <w:t>4022</w:t>
      </w:r>
      <w:r>
        <w:rPr>
          <w:rFonts w:hint="eastAsia" w:ascii="仿宋" w:hAnsi="仿宋" w:eastAsia="仿宋" w:cs="仿宋"/>
          <w:color w:val="auto"/>
          <w:kern w:val="0"/>
          <w:sz w:val="24"/>
          <w:highlight w:val="none"/>
          <w:shd w:val="clear" w:color="auto" w:fill="FFFFFF"/>
          <w:lang w:bidi="ar"/>
        </w:rPr>
        <w:t>A</w:t>
      </w:r>
    </w:p>
    <w:p w14:paraId="11EA5296">
      <w:pPr>
        <w:jc w:val="left"/>
        <w:rPr>
          <w:rFonts w:ascii="仿宋_GB2312" w:eastAsia="仿宋_GB2312"/>
          <w:color w:val="auto"/>
          <w:sz w:val="24"/>
          <w:highlight w:val="none"/>
        </w:rPr>
      </w:pPr>
      <w:r>
        <w:rPr>
          <w:rFonts w:hint="eastAsia" w:ascii="仿宋_GB2312" w:eastAsia="仿宋_GB2312"/>
          <w:b/>
          <w:bCs/>
          <w:color w:val="auto"/>
          <w:sz w:val="24"/>
          <w:highlight w:val="none"/>
        </w:rPr>
        <w:t>3</w:t>
      </w:r>
      <w:r>
        <w:rPr>
          <w:rFonts w:ascii="仿宋_GB2312" w:eastAsia="仿宋_GB2312"/>
          <w:b/>
          <w:bCs/>
          <w:color w:val="auto"/>
          <w:sz w:val="24"/>
          <w:highlight w:val="none"/>
        </w:rPr>
        <w:t>.采购方式</w:t>
      </w:r>
      <w:r>
        <w:rPr>
          <w:rFonts w:ascii="仿宋_GB2312" w:eastAsia="仿宋_GB2312"/>
          <w:color w:val="auto"/>
          <w:sz w:val="24"/>
          <w:highlight w:val="none"/>
        </w:rPr>
        <w:t>：</w:t>
      </w:r>
      <w:r>
        <w:rPr>
          <w:rFonts w:hint="eastAsia" w:ascii="仿宋" w:hAnsi="仿宋" w:eastAsia="仿宋" w:cs="仿宋"/>
          <w:color w:val="auto"/>
          <w:kern w:val="0"/>
          <w:sz w:val="24"/>
          <w:highlight w:val="none"/>
          <w:shd w:val="clear" w:color="auto" w:fill="FFFFFF"/>
          <w:lang w:bidi="ar"/>
        </w:rPr>
        <w:t>校内公开招标</w:t>
      </w:r>
    </w:p>
    <w:p w14:paraId="60C9A6D5">
      <w:pPr>
        <w:jc w:val="left"/>
        <w:rPr>
          <w:rFonts w:ascii="仿宋" w:hAnsi="仿宋" w:eastAsia="仿宋" w:cs="仿宋"/>
          <w:color w:val="auto"/>
          <w:kern w:val="0"/>
          <w:sz w:val="24"/>
          <w:highlight w:val="none"/>
          <w:lang w:bidi="ar"/>
        </w:rPr>
      </w:pPr>
      <w:r>
        <w:rPr>
          <w:rFonts w:hint="eastAsia" w:ascii="仿宋_GB2312" w:eastAsia="仿宋_GB2312"/>
          <w:b/>
          <w:bCs/>
          <w:color w:val="auto"/>
          <w:sz w:val="24"/>
          <w:highlight w:val="none"/>
        </w:rPr>
        <w:t>4</w:t>
      </w:r>
      <w:r>
        <w:rPr>
          <w:rFonts w:ascii="仿宋_GB2312" w:eastAsia="仿宋_GB2312"/>
          <w:b/>
          <w:bCs/>
          <w:color w:val="auto"/>
          <w:sz w:val="24"/>
          <w:highlight w:val="none"/>
        </w:rPr>
        <w:t>.采购预算（最高限价）</w:t>
      </w:r>
      <w:r>
        <w:rPr>
          <w:rFonts w:ascii="仿宋_GB2312" w:eastAsia="仿宋_GB2312"/>
          <w:color w:val="auto"/>
          <w:sz w:val="24"/>
          <w:highlight w:val="none"/>
        </w:rPr>
        <w:t>：</w:t>
      </w:r>
      <w:r>
        <w:rPr>
          <w:rFonts w:hint="eastAsia" w:ascii="仿宋" w:hAnsi="仿宋" w:eastAsia="仿宋" w:cs="仿宋"/>
          <w:color w:val="auto"/>
          <w:kern w:val="0"/>
          <w:sz w:val="24"/>
          <w:highlight w:val="none"/>
          <w:lang w:bidi="ar"/>
        </w:rPr>
        <w:t xml:space="preserve">人民币拾贰万伍仟伍佰圆整（￥125500元） </w:t>
      </w:r>
    </w:p>
    <w:p w14:paraId="68146E76">
      <w:pPr>
        <w:rPr>
          <w:rFonts w:ascii="仿宋" w:hAnsi="仿宋" w:eastAsia="仿宋" w:cs="仿宋_GB2312"/>
          <w:color w:val="auto"/>
          <w:sz w:val="24"/>
          <w:highlight w:val="none"/>
        </w:rPr>
      </w:pPr>
      <w:r>
        <w:rPr>
          <w:rFonts w:ascii="仿宋" w:hAnsi="仿宋" w:eastAsia="仿宋" w:cs="仿宋_GB2312"/>
          <w:b/>
          <w:color w:val="auto"/>
          <w:sz w:val="24"/>
          <w:highlight w:val="none"/>
        </w:rPr>
        <w:t>6.</w:t>
      </w:r>
      <w:r>
        <w:rPr>
          <w:rFonts w:hint="eastAsia" w:ascii="仿宋" w:hAnsi="仿宋" w:eastAsia="仿宋" w:cs="仿宋_GB2312"/>
          <w:b/>
          <w:color w:val="auto"/>
          <w:sz w:val="24"/>
          <w:highlight w:val="none"/>
        </w:rPr>
        <w:t>采购清单</w:t>
      </w:r>
      <w:r>
        <w:rPr>
          <w:rFonts w:hint="eastAsia" w:ascii="仿宋" w:hAnsi="仿宋" w:eastAsia="仿宋" w:cs="仿宋_GB2312"/>
          <w:color w:val="auto"/>
          <w:sz w:val="24"/>
          <w:highlight w:val="none"/>
        </w:rPr>
        <w:t>（包括货物名称、规格尺寸、数量等），见下表：</w:t>
      </w:r>
      <w:bookmarkStart w:id="0" w:name="_Toc138761297"/>
    </w:p>
    <w:bookmarkEnd w:id="0"/>
    <w:tbl>
      <w:tblPr>
        <w:tblStyle w:val="21"/>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728"/>
      </w:tblGrid>
      <w:tr w14:paraId="6C11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510" w:type="dxa"/>
            <w:vAlign w:val="center"/>
          </w:tcPr>
          <w:p w14:paraId="441E9B84">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标项号</w:t>
            </w:r>
          </w:p>
        </w:tc>
        <w:tc>
          <w:tcPr>
            <w:tcW w:w="1510" w:type="dxa"/>
            <w:vAlign w:val="center"/>
          </w:tcPr>
          <w:p w14:paraId="7CED58D4">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标项名称</w:t>
            </w:r>
          </w:p>
        </w:tc>
        <w:tc>
          <w:tcPr>
            <w:tcW w:w="1510" w:type="dxa"/>
            <w:vAlign w:val="center"/>
          </w:tcPr>
          <w:p w14:paraId="3A7DE017">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单位</w:t>
            </w:r>
          </w:p>
        </w:tc>
        <w:tc>
          <w:tcPr>
            <w:tcW w:w="1510" w:type="dxa"/>
            <w:vAlign w:val="center"/>
          </w:tcPr>
          <w:p w14:paraId="66589D1B">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数量</w:t>
            </w:r>
          </w:p>
        </w:tc>
        <w:tc>
          <w:tcPr>
            <w:tcW w:w="1510" w:type="dxa"/>
            <w:vAlign w:val="center"/>
          </w:tcPr>
          <w:p w14:paraId="560A3106">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采购预算</w:t>
            </w:r>
          </w:p>
        </w:tc>
        <w:tc>
          <w:tcPr>
            <w:tcW w:w="1728" w:type="dxa"/>
            <w:vAlign w:val="center"/>
          </w:tcPr>
          <w:p w14:paraId="1B113764">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技术要求</w:t>
            </w:r>
          </w:p>
        </w:tc>
      </w:tr>
      <w:tr w14:paraId="5DBEA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14:paraId="344D4E83">
            <w:pPr>
              <w:pStyle w:val="11"/>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1</w:t>
            </w:r>
          </w:p>
        </w:tc>
        <w:tc>
          <w:tcPr>
            <w:tcW w:w="1510" w:type="dxa"/>
            <w:vAlign w:val="center"/>
          </w:tcPr>
          <w:p w14:paraId="09AD39A0">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湖州学院宣传部舆情系统服务采购项目</w:t>
            </w:r>
          </w:p>
          <w:p w14:paraId="45717BEA">
            <w:pPr>
              <w:pStyle w:val="11"/>
              <w:jc w:val="left"/>
              <w:rPr>
                <w:rFonts w:ascii="仿宋" w:hAnsi="仿宋" w:eastAsia="仿宋" w:cs="仿宋"/>
                <w:color w:val="auto"/>
                <w:kern w:val="0"/>
                <w:highlight w:val="none"/>
                <w:lang w:bidi="ar"/>
              </w:rPr>
            </w:pPr>
          </w:p>
        </w:tc>
        <w:tc>
          <w:tcPr>
            <w:tcW w:w="1510" w:type="dxa"/>
            <w:vAlign w:val="center"/>
          </w:tcPr>
          <w:p w14:paraId="02E7CE43">
            <w:pPr>
              <w:pStyle w:val="11"/>
              <w:ind w:firstLine="0" w:firstLineChars="0"/>
              <w:jc w:val="center"/>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项</w:t>
            </w:r>
          </w:p>
        </w:tc>
        <w:tc>
          <w:tcPr>
            <w:tcW w:w="1510" w:type="dxa"/>
            <w:vAlign w:val="center"/>
          </w:tcPr>
          <w:p w14:paraId="58308FC5">
            <w:pPr>
              <w:pStyle w:val="11"/>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1</w:t>
            </w:r>
          </w:p>
        </w:tc>
        <w:tc>
          <w:tcPr>
            <w:tcW w:w="1510" w:type="dxa"/>
            <w:vAlign w:val="center"/>
          </w:tcPr>
          <w:p w14:paraId="2EBB5797">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12.55万元</w:t>
            </w:r>
          </w:p>
        </w:tc>
        <w:tc>
          <w:tcPr>
            <w:tcW w:w="1728" w:type="dxa"/>
            <w:vAlign w:val="center"/>
          </w:tcPr>
          <w:p w14:paraId="0F86B961">
            <w:pPr>
              <w:pStyle w:val="11"/>
              <w:ind w:firstLine="0" w:firstLineChars="0"/>
              <w:jc w:val="left"/>
              <w:rPr>
                <w:rFonts w:ascii="仿宋" w:hAnsi="仿宋" w:eastAsia="仿宋" w:cs="仿宋"/>
                <w:color w:val="auto"/>
                <w:kern w:val="0"/>
                <w:highlight w:val="none"/>
                <w:lang w:bidi="ar"/>
              </w:rPr>
            </w:pPr>
            <w:r>
              <w:rPr>
                <w:rFonts w:hint="eastAsia" w:ascii="仿宋" w:hAnsi="仿宋" w:eastAsia="仿宋" w:cs="仿宋"/>
                <w:color w:val="auto"/>
                <w:kern w:val="0"/>
                <w:highlight w:val="none"/>
                <w:lang w:bidi="ar"/>
              </w:rPr>
              <w:t>详见招标需求</w:t>
            </w:r>
          </w:p>
        </w:tc>
      </w:tr>
    </w:tbl>
    <w:p w14:paraId="4CF806F2">
      <w:pPr>
        <w:pStyle w:val="9"/>
        <w:rPr>
          <w:rFonts w:ascii="仿宋" w:hAnsi="仿宋" w:eastAsia="仿宋" w:cs="仿宋"/>
          <w:color w:val="auto"/>
          <w:spacing w:val="0"/>
          <w:kern w:val="0"/>
          <w:sz w:val="24"/>
          <w:highlight w:val="none"/>
          <w:lang w:bidi="ar"/>
        </w:rPr>
      </w:pPr>
    </w:p>
    <w:p w14:paraId="7BE68C9B">
      <w:pPr>
        <w:spacing w:line="340" w:lineRule="exact"/>
        <w:ind w:firstLine="482" w:firstLineChars="200"/>
        <w:jc w:val="left"/>
        <w:rPr>
          <w:color w:val="auto"/>
          <w:highlight w:val="none"/>
        </w:rPr>
      </w:pPr>
      <w:r>
        <w:rPr>
          <w:rFonts w:hint="eastAsia" w:ascii="仿宋" w:hAnsi="仿宋" w:eastAsia="仿宋"/>
          <w:b/>
          <w:bCs/>
          <w:color w:val="auto"/>
          <w:sz w:val="24"/>
          <w:highlight w:val="none"/>
        </w:rPr>
        <w:t>二、投标人资格要求：</w:t>
      </w:r>
    </w:p>
    <w:p w14:paraId="12DFE2D3">
      <w:pPr>
        <w:pStyle w:val="3"/>
        <w:ind w:firstLine="480" w:firstLineChars="200"/>
        <w:jc w:val="left"/>
        <w:rPr>
          <w:rFonts w:ascii="仿宋" w:hAnsi="仿宋" w:eastAsia="仿宋" w:cs="Times New Roman"/>
          <w:b w:val="0"/>
          <w:bCs w:val="0"/>
          <w:color w:val="auto"/>
          <w:sz w:val="24"/>
          <w:highlight w:val="none"/>
        </w:rPr>
      </w:pPr>
      <w:r>
        <w:rPr>
          <w:rFonts w:hint="eastAsia" w:ascii="仿宋" w:hAnsi="仿宋" w:eastAsia="仿宋" w:cs="Times New Roman"/>
          <w:b w:val="0"/>
          <w:bCs w:val="0"/>
          <w:color w:val="auto"/>
          <w:sz w:val="24"/>
          <w:highlight w:val="none"/>
        </w:rPr>
        <w:t>（一）一般资格要求</w:t>
      </w:r>
    </w:p>
    <w:p w14:paraId="664B0B70">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14:paraId="1C26532D">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2.投标人未在行政处罚期内和未被列入经营异常名录（国家企业信用信息公示系统：www.gsxt.gov.cn）。</w:t>
      </w:r>
    </w:p>
    <w:p w14:paraId="15F0E35B">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3.营业执照经营范围应符合本项目要求；</w:t>
      </w:r>
    </w:p>
    <w:p w14:paraId="36C41DD6">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4.本项目不接受联合体投标。</w:t>
      </w:r>
    </w:p>
    <w:p w14:paraId="50A77479">
      <w:pPr>
        <w:spacing w:line="340" w:lineRule="exact"/>
        <w:ind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特定资格要求</w:t>
      </w:r>
    </w:p>
    <w:p w14:paraId="7DD66615">
      <w:pPr>
        <w:pStyle w:val="16"/>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无。</w:t>
      </w:r>
      <w:r>
        <w:rPr>
          <w:rFonts w:hint="eastAsia" w:ascii="仿宋" w:hAnsi="仿宋" w:eastAsia="仿宋"/>
          <w:color w:val="auto"/>
          <w:sz w:val="24"/>
          <w:highlight w:val="none"/>
        </w:rPr>
        <w:t xml:space="preserve">  </w:t>
      </w:r>
    </w:p>
    <w:p w14:paraId="12226FA8">
      <w:pPr>
        <w:spacing w:line="34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三、投标文件要求</w:t>
      </w:r>
    </w:p>
    <w:p w14:paraId="6BEB8B5F">
      <w:pPr>
        <w:spacing w:line="340" w:lineRule="exact"/>
        <w:ind w:firstLine="480" w:firstLineChars="200"/>
        <w:jc w:val="left"/>
        <w:rPr>
          <w:rFonts w:hint="eastAsia" w:ascii="仿宋" w:hAnsi="仿宋" w:eastAsia="仿宋"/>
          <w:color w:val="auto"/>
          <w:sz w:val="24"/>
          <w:highlight w:val="none"/>
          <w:lang w:eastAsia="zh-CN"/>
        </w:rPr>
      </w:pPr>
      <w:r>
        <w:rPr>
          <w:rFonts w:hint="eastAsia" w:ascii="仿宋" w:hAnsi="仿宋" w:eastAsia="仿宋"/>
          <w:color w:val="auto"/>
          <w:sz w:val="24"/>
          <w:highlight w:val="none"/>
        </w:rPr>
        <w:t>（一）投标文件要求</w:t>
      </w:r>
    </w:p>
    <w:p w14:paraId="475A843E">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投标文件由</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资格文件</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《技术、资信</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商务文件》和《报价文件》</w:t>
      </w:r>
      <w:r>
        <w:rPr>
          <w:rFonts w:hint="eastAsia" w:ascii="仿宋" w:hAnsi="仿宋" w:eastAsia="仿宋"/>
          <w:color w:val="auto"/>
          <w:sz w:val="24"/>
          <w:highlight w:val="none"/>
          <w:lang w:val="en-US" w:eastAsia="zh-CN"/>
        </w:rPr>
        <w:t>三</w:t>
      </w:r>
      <w:r>
        <w:rPr>
          <w:rFonts w:hint="eastAsia" w:ascii="仿宋" w:hAnsi="仿宋" w:eastAsia="仿宋"/>
          <w:color w:val="auto"/>
          <w:sz w:val="24"/>
          <w:highlight w:val="none"/>
        </w:rPr>
        <w:t>部分组成，投标人应按</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资格文件</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《技术、资信</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商务文件》和《报价文件》正本各1份、副本各1份编制，文件须密封并胶装成册</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《报价文件》</w:t>
      </w:r>
      <w:r>
        <w:rPr>
          <w:rFonts w:hint="eastAsia" w:ascii="仿宋" w:hAnsi="仿宋" w:eastAsia="仿宋"/>
          <w:color w:val="auto"/>
          <w:sz w:val="24"/>
          <w:highlight w:val="none"/>
          <w:lang w:val="en-US" w:eastAsia="zh-CN"/>
        </w:rPr>
        <w:t>需单独密封，三部分文件封面及每一页均需加盖供应商公章。</w:t>
      </w:r>
      <w:r>
        <w:rPr>
          <w:rFonts w:hint="eastAsia" w:ascii="仿宋" w:hAnsi="仿宋" w:eastAsia="仿宋"/>
          <w:color w:val="auto"/>
          <w:sz w:val="24"/>
          <w:highlight w:val="none"/>
        </w:rPr>
        <w:t>所有证件均须真实、有效，原件、复印件均须加盖公章，缺少以</w:t>
      </w:r>
      <w:r>
        <w:rPr>
          <w:rFonts w:hint="eastAsia" w:ascii="仿宋" w:hAnsi="仿宋" w:eastAsia="仿宋"/>
          <w:color w:val="auto"/>
          <w:sz w:val="24"/>
          <w:highlight w:val="none"/>
          <w:lang w:val="en-US" w:eastAsia="zh-CN"/>
        </w:rPr>
        <w:t>上任意一部分内容</w:t>
      </w:r>
      <w:r>
        <w:rPr>
          <w:rFonts w:hint="eastAsia" w:ascii="仿宋" w:hAnsi="仿宋" w:eastAsia="仿宋"/>
          <w:color w:val="auto"/>
          <w:sz w:val="24"/>
          <w:highlight w:val="none"/>
        </w:rPr>
        <w:t>即作无效标处理。</w:t>
      </w:r>
    </w:p>
    <w:p w14:paraId="25622970">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（二）资格文件</w:t>
      </w:r>
    </w:p>
    <w:p w14:paraId="33ADB61C">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1.有效的营业执照；</w:t>
      </w:r>
    </w:p>
    <w:p w14:paraId="329C8C4E">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2.提供自公告发布之日起至开标日前任意时间的“信用中国”（www.creditchina.gov.cn）、“中国政府采购网”（www.ccgp.gov.cn）供应商信用查询网页截图（以开标当日采购人核实的查询结果为准）；</w:t>
      </w:r>
    </w:p>
    <w:p w14:paraId="3469B62D">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3.最近一个季度供应商依法缴纳税收和社保费的证明（税费凭证复印件，或者依法缴纳税费或依法免缴税费的证明)；</w:t>
      </w:r>
    </w:p>
    <w:p w14:paraId="4CF047E5">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4.法定代表人身份证复印件；如非法定代表人参与开标，需额外提供法定代表人授权委托书原件、授权委托人身份证复印件。</w:t>
      </w:r>
    </w:p>
    <w:p w14:paraId="70AAFF66">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（三）技术、商务及其他文件：</w:t>
      </w:r>
    </w:p>
    <w:p w14:paraId="76FD9E0B">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1.评分索引表；</w:t>
      </w:r>
    </w:p>
    <w:p w14:paraId="33A253FC">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2.投标声明书；</w:t>
      </w:r>
    </w:p>
    <w:p w14:paraId="463F08D0">
      <w:pPr>
        <w:spacing w:line="340" w:lineRule="exact"/>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3.商务响应表；</w:t>
      </w:r>
    </w:p>
    <w:p w14:paraId="243077C6">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4.技术响应表；</w:t>
      </w:r>
    </w:p>
    <w:p w14:paraId="52B4DFE1">
      <w:pPr>
        <w:spacing w:line="340" w:lineRule="exact"/>
        <w:ind w:firstLine="480" w:firstLineChars="200"/>
        <w:jc w:val="left"/>
        <w:rPr>
          <w:rFonts w:hint="default" w:eastAsia="仿宋"/>
          <w:lang w:val="en-US" w:eastAsia="zh-CN"/>
        </w:rPr>
      </w:pPr>
      <w:r>
        <w:rPr>
          <w:rFonts w:hint="eastAsia" w:ascii="仿宋" w:hAnsi="仿宋" w:eastAsia="仿宋"/>
          <w:color w:val="auto"/>
          <w:sz w:val="24"/>
          <w:highlight w:val="none"/>
          <w:lang w:val="en-US" w:eastAsia="zh-CN"/>
        </w:rPr>
        <w:t>5.技术性能指标；</w:t>
      </w:r>
    </w:p>
    <w:p w14:paraId="1B941A07">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6</w:t>
      </w:r>
      <w:r>
        <w:rPr>
          <w:rFonts w:hint="eastAsia" w:ascii="仿宋" w:hAnsi="仿宋" w:eastAsia="仿宋"/>
          <w:color w:val="auto"/>
          <w:sz w:val="24"/>
          <w:highlight w:val="none"/>
        </w:rPr>
        <w:t>.项目理解分析；</w:t>
      </w:r>
    </w:p>
    <w:p w14:paraId="0DEE157E">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项目实施方案</w:t>
      </w:r>
      <w:r>
        <w:rPr>
          <w:rFonts w:hint="eastAsia" w:ascii="仿宋" w:hAnsi="仿宋" w:eastAsia="仿宋"/>
          <w:color w:val="auto"/>
          <w:sz w:val="24"/>
          <w:highlight w:val="none"/>
        </w:rPr>
        <w:t>；</w:t>
      </w:r>
    </w:p>
    <w:p w14:paraId="1BF55262">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培训计划</w:t>
      </w:r>
      <w:r>
        <w:rPr>
          <w:rFonts w:hint="eastAsia" w:ascii="仿宋" w:hAnsi="仿宋" w:eastAsia="仿宋"/>
          <w:color w:val="auto"/>
          <w:sz w:val="24"/>
          <w:highlight w:val="none"/>
        </w:rPr>
        <w:t>；</w:t>
      </w:r>
    </w:p>
    <w:p w14:paraId="08189A90">
      <w:pPr>
        <w:spacing w:line="340" w:lineRule="exact"/>
        <w:ind w:firstLine="480" w:firstLineChars="200"/>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9.人员配备；</w:t>
      </w:r>
    </w:p>
    <w:p w14:paraId="475CD888">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售后服务</w:t>
      </w:r>
      <w:r>
        <w:rPr>
          <w:rFonts w:hint="eastAsia" w:ascii="仿宋" w:hAnsi="仿宋" w:eastAsia="仿宋"/>
          <w:color w:val="auto"/>
          <w:sz w:val="24"/>
          <w:highlight w:val="none"/>
        </w:rPr>
        <w:t>；</w:t>
      </w:r>
    </w:p>
    <w:p w14:paraId="7213B938">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响应时间</w:t>
      </w:r>
      <w:r>
        <w:rPr>
          <w:rFonts w:hint="eastAsia" w:ascii="仿宋" w:hAnsi="仿宋" w:eastAsia="仿宋"/>
          <w:color w:val="auto"/>
          <w:sz w:val="24"/>
          <w:highlight w:val="none"/>
        </w:rPr>
        <w:t>；</w:t>
      </w:r>
    </w:p>
    <w:p w14:paraId="4BAA9171">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企业实力</w:t>
      </w:r>
      <w:r>
        <w:rPr>
          <w:rFonts w:hint="eastAsia" w:ascii="仿宋" w:hAnsi="仿宋" w:eastAsia="仿宋"/>
          <w:color w:val="auto"/>
          <w:sz w:val="24"/>
          <w:highlight w:val="none"/>
        </w:rPr>
        <w:t>；</w:t>
      </w:r>
    </w:p>
    <w:p w14:paraId="483DD7CC">
      <w:pPr>
        <w:spacing w:line="340" w:lineRule="exact"/>
        <w:ind w:firstLine="480" w:firstLineChars="200"/>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13.企业业绩；</w:t>
      </w:r>
    </w:p>
    <w:p w14:paraId="1B120430">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.其他供应商认为有必要提供的材料。</w:t>
      </w:r>
    </w:p>
    <w:p w14:paraId="5CB11700">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（四）报价文件：</w:t>
      </w:r>
    </w:p>
    <w:p w14:paraId="519A17DE">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1.投标响应函；</w:t>
      </w:r>
    </w:p>
    <w:p w14:paraId="7F1560B0">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2.报价一览表；</w:t>
      </w:r>
    </w:p>
    <w:p w14:paraId="42EFB03E">
      <w:pPr>
        <w:spacing w:line="340" w:lineRule="exact"/>
        <w:ind w:firstLine="480" w:firstLineChars="200"/>
        <w:jc w:val="left"/>
        <w:rPr>
          <w:rFonts w:hint="eastAsia" w:ascii="仿宋" w:hAnsi="仿宋" w:eastAsia="仿宋"/>
          <w:color w:val="auto"/>
          <w:sz w:val="24"/>
          <w:highlight w:val="none"/>
        </w:rPr>
      </w:pPr>
      <w:r>
        <w:rPr>
          <w:rFonts w:hint="eastAsia" w:ascii="仿宋" w:hAnsi="仿宋" w:eastAsia="仿宋"/>
          <w:color w:val="auto"/>
          <w:sz w:val="24"/>
          <w:highlight w:val="none"/>
        </w:rPr>
        <w:t>3.其他供应商认为有必要提供的材料。</w:t>
      </w:r>
    </w:p>
    <w:p w14:paraId="3B450ED9">
      <w:pPr>
        <w:ind w:firstLine="482" w:firstLineChars="200"/>
        <w:rPr>
          <w:rStyle w:val="23"/>
          <w:rFonts w:hint="eastAsia" w:ascii="仿宋" w:hAnsi="仿宋" w:eastAsia="仿宋" w:cs="仿宋"/>
          <w:b/>
          <w:bCs w:val="0"/>
          <w:color w:val="auto"/>
          <w:kern w:val="0"/>
          <w:sz w:val="24"/>
          <w:szCs w:val="22"/>
          <w:highlight w:val="none"/>
          <w:shd w:val="clear" w:color="auto" w:fill="FFFFFF"/>
          <w:lang w:val="en-US" w:eastAsia="zh-CN" w:bidi="ar"/>
        </w:rPr>
      </w:pPr>
      <w:r>
        <w:rPr>
          <w:rStyle w:val="23"/>
          <w:rFonts w:hint="eastAsia" w:ascii="仿宋" w:hAnsi="仿宋" w:eastAsia="仿宋" w:cs="仿宋"/>
          <w:b/>
          <w:bCs w:val="0"/>
          <w:color w:val="auto"/>
          <w:kern w:val="0"/>
          <w:sz w:val="24"/>
          <w:szCs w:val="22"/>
          <w:highlight w:val="none"/>
          <w:shd w:val="clear" w:color="auto" w:fill="FFFFFF"/>
          <w:lang w:val="en-US" w:eastAsia="zh-CN" w:bidi="ar"/>
        </w:rPr>
        <w:t>四、投标文件递交、开标时间</w:t>
      </w:r>
    </w:p>
    <w:p w14:paraId="70EC9330">
      <w:pPr>
        <w:ind w:firstLine="480" w:firstLineChars="200"/>
        <w:rPr>
          <w:rStyle w:val="23"/>
          <w:rFonts w:ascii="仿宋" w:hAnsi="仿宋" w:eastAsia="仿宋" w:cs="仿宋"/>
          <w:b w:val="0"/>
          <w:bCs/>
          <w:color w:val="auto"/>
          <w:kern w:val="0"/>
          <w:sz w:val="24"/>
          <w:highlight w:val="none"/>
          <w:shd w:val="clear" w:color="auto" w:fill="FFFFFF"/>
          <w:lang w:bidi="ar"/>
        </w:rPr>
      </w:pPr>
      <w:r>
        <w:rPr>
          <w:rStyle w:val="23"/>
          <w:rFonts w:hint="eastAsia" w:ascii="仿宋" w:hAnsi="仿宋" w:eastAsia="仿宋" w:cs="仿宋"/>
          <w:b w:val="0"/>
          <w:bCs/>
          <w:color w:val="auto"/>
          <w:kern w:val="0"/>
          <w:sz w:val="24"/>
          <w:highlight w:val="none"/>
          <w:shd w:val="clear" w:color="auto" w:fill="FFFFFF"/>
          <w:lang w:bidi="ar"/>
        </w:rPr>
        <w:t>1、投标文件投递截止时间：202</w:t>
      </w:r>
      <w:r>
        <w:rPr>
          <w:rStyle w:val="23"/>
          <w:rFonts w:hint="eastAsia" w:ascii="仿宋" w:hAnsi="仿宋" w:eastAsia="仿宋" w:cs="仿宋"/>
          <w:b w:val="0"/>
          <w:bCs/>
          <w:color w:val="auto"/>
          <w:kern w:val="0"/>
          <w:sz w:val="24"/>
          <w:highlight w:val="none"/>
          <w:shd w:val="clear" w:color="auto" w:fill="FFFFFF"/>
          <w:lang w:val="en-US" w:eastAsia="zh-CN" w:bidi="ar"/>
        </w:rPr>
        <w:t>4</w:t>
      </w:r>
      <w:r>
        <w:rPr>
          <w:rStyle w:val="23"/>
          <w:rFonts w:hint="eastAsia" w:ascii="仿宋" w:hAnsi="仿宋" w:eastAsia="仿宋" w:cs="仿宋"/>
          <w:b w:val="0"/>
          <w:bCs/>
          <w:color w:val="auto"/>
          <w:kern w:val="0"/>
          <w:sz w:val="24"/>
          <w:highlight w:val="none"/>
          <w:shd w:val="clear" w:color="auto" w:fill="FFFFFF"/>
          <w:lang w:bidi="ar"/>
        </w:rPr>
        <w:t>年</w:t>
      </w:r>
      <w:r>
        <w:rPr>
          <w:rStyle w:val="23"/>
          <w:rFonts w:hint="eastAsia" w:ascii="仿宋" w:hAnsi="仿宋" w:eastAsia="仿宋" w:cs="仿宋"/>
          <w:b w:val="0"/>
          <w:bCs/>
          <w:color w:val="auto"/>
          <w:kern w:val="0"/>
          <w:sz w:val="24"/>
          <w:highlight w:val="none"/>
          <w:shd w:val="clear" w:color="auto" w:fill="FFFFFF"/>
          <w:lang w:val="en-US" w:eastAsia="zh-CN" w:bidi="ar"/>
        </w:rPr>
        <w:t>11</w:t>
      </w:r>
      <w:r>
        <w:rPr>
          <w:rStyle w:val="23"/>
          <w:rFonts w:hint="eastAsia" w:ascii="仿宋" w:hAnsi="仿宋" w:eastAsia="仿宋" w:cs="仿宋"/>
          <w:b w:val="0"/>
          <w:bCs/>
          <w:color w:val="auto"/>
          <w:kern w:val="0"/>
          <w:sz w:val="24"/>
          <w:highlight w:val="none"/>
          <w:shd w:val="clear" w:color="auto" w:fill="FFFFFF"/>
          <w:lang w:bidi="ar"/>
        </w:rPr>
        <w:t>月</w:t>
      </w:r>
      <w:r>
        <w:rPr>
          <w:rStyle w:val="23"/>
          <w:rFonts w:hint="eastAsia" w:ascii="仿宋" w:hAnsi="仿宋" w:eastAsia="仿宋" w:cs="仿宋"/>
          <w:b w:val="0"/>
          <w:bCs/>
          <w:color w:val="auto"/>
          <w:kern w:val="0"/>
          <w:sz w:val="24"/>
          <w:highlight w:val="none"/>
          <w:shd w:val="clear" w:color="auto" w:fill="FFFFFF"/>
          <w:lang w:val="en-US" w:eastAsia="zh-CN" w:bidi="ar"/>
        </w:rPr>
        <w:t>13</w:t>
      </w:r>
      <w:r>
        <w:rPr>
          <w:rStyle w:val="23"/>
          <w:rFonts w:hint="eastAsia" w:ascii="仿宋" w:hAnsi="仿宋" w:eastAsia="仿宋" w:cs="仿宋"/>
          <w:b w:val="0"/>
          <w:bCs/>
          <w:color w:val="auto"/>
          <w:kern w:val="0"/>
          <w:sz w:val="24"/>
          <w:highlight w:val="none"/>
          <w:shd w:val="clear" w:color="auto" w:fill="FFFFFF"/>
          <w:lang w:bidi="ar"/>
        </w:rPr>
        <w:t>日上午9:30（投标人迟到视为自动弃标）；</w:t>
      </w:r>
    </w:p>
    <w:p w14:paraId="5CF31E21">
      <w:pPr>
        <w:ind w:firstLine="480" w:firstLineChars="200"/>
        <w:rPr>
          <w:rFonts w:ascii="仿宋_GB2312" w:eastAsia="仿宋_GB2312"/>
          <w:color w:val="auto"/>
          <w:sz w:val="24"/>
          <w:highlight w:val="none"/>
        </w:rPr>
      </w:pPr>
      <w:r>
        <w:rPr>
          <w:rStyle w:val="23"/>
          <w:rFonts w:hint="eastAsia" w:ascii="仿宋" w:hAnsi="仿宋" w:eastAsia="仿宋" w:cs="仿宋"/>
          <w:b w:val="0"/>
          <w:bCs/>
          <w:color w:val="auto"/>
          <w:kern w:val="0"/>
          <w:sz w:val="24"/>
          <w:highlight w:val="none"/>
          <w:shd w:val="clear" w:color="auto" w:fill="FFFFFF"/>
          <w:lang w:bidi="ar"/>
        </w:rPr>
        <w:t>2、开标时间：202</w:t>
      </w:r>
      <w:r>
        <w:rPr>
          <w:rStyle w:val="23"/>
          <w:rFonts w:hint="eastAsia" w:ascii="仿宋" w:hAnsi="仿宋" w:eastAsia="仿宋" w:cs="仿宋"/>
          <w:b w:val="0"/>
          <w:bCs/>
          <w:color w:val="auto"/>
          <w:kern w:val="0"/>
          <w:sz w:val="24"/>
          <w:highlight w:val="none"/>
          <w:shd w:val="clear" w:color="auto" w:fill="FFFFFF"/>
          <w:lang w:val="en-US" w:eastAsia="zh-CN" w:bidi="ar"/>
        </w:rPr>
        <w:t>4</w:t>
      </w:r>
      <w:r>
        <w:rPr>
          <w:rStyle w:val="23"/>
          <w:rFonts w:hint="eastAsia" w:ascii="仿宋" w:hAnsi="仿宋" w:eastAsia="仿宋" w:cs="仿宋"/>
          <w:b w:val="0"/>
          <w:bCs/>
          <w:color w:val="auto"/>
          <w:kern w:val="0"/>
          <w:sz w:val="24"/>
          <w:highlight w:val="none"/>
          <w:shd w:val="clear" w:color="auto" w:fill="FFFFFF"/>
          <w:lang w:bidi="ar"/>
        </w:rPr>
        <w:t>年</w:t>
      </w:r>
      <w:r>
        <w:rPr>
          <w:rStyle w:val="23"/>
          <w:rFonts w:hint="eastAsia" w:ascii="仿宋" w:hAnsi="仿宋" w:eastAsia="仿宋" w:cs="仿宋"/>
          <w:b w:val="0"/>
          <w:bCs/>
          <w:color w:val="auto"/>
          <w:kern w:val="0"/>
          <w:sz w:val="24"/>
          <w:highlight w:val="none"/>
          <w:shd w:val="clear" w:color="auto" w:fill="FFFFFF"/>
          <w:lang w:val="en-US" w:eastAsia="zh-CN" w:bidi="ar"/>
        </w:rPr>
        <w:t>11</w:t>
      </w:r>
      <w:r>
        <w:rPr>
          <w:rStyle w:val="23"/>
          <w:rFonts w:hint="eastAsia" w:ascii="仿宋" w:hAnsi="仿宋" w:eastAsia="仿宋" w:cs="仿宋"/>
          <w:b w:val="0"/>
          <w:bCs/>
          <w:color w:val="auto"/>
          <w:kern w:val="0"/>
          <w:sz w:val="24"/>
          <w:highlight w:val="none"/>
          <w:shd w:val="clear" w:color="auto" w:fill="FFFFFF"/>
          <w:lang w:bidi="ar"/>
        </w:rPr>
        <w:t>月</w:t>
      </w:r>
      <w:r>
        <w:rPr>
          <w:rStyle w:val="23"/>
          <w:rFonts w:hint="eastAsia" w:ascii="仿宋" w:hAnsi="仿宋" w:eastAsia="仿宋" w:cs="仿宋"/>
          <w:b w:val="0"/>
          <w:bCs/>
          <w:color w:val="auto"/>
          <w:kern w:val="0"/>
          <w:sz w:val="24"/>
          <w:highlight w:val="none"/>
          <w:shd w:val="clear" w:color="auto" w:fill="FFFFFF"/>
          <w:lang w:val="en-US" w:eastAsia="zh-CN" w:bidi="ar"/>
        </w:rPr>
        <w:t>13</w:t>
      </w:r>
      <w:r>
        <w:rPr>
          <w:rStyle w:val="23"/>
          <w:rFonts w:hint="eastAsia" w:ascii="仿宋" w:hAnsi="仿宋" w:eastAsia="仿宋" w:cs="仿宋"/>
          <w:b w:val="0"/>
          <w:bCs/>
          <w:color w:val="auto"/>
          <w:kern w:val="0"/>
          <w:sz w:val="24"/>
          <w:highlight w:val="none"/>
          <w:shd w:val="clear" w:color="auto" w:fill="FFFFFF"/>
          <w:lang w:bidi="ar"/>
        </w:rPr>
        <w:t>日上午9:30；</w:t>
      </w:r>
    </w:p>
    <w:p w14:paraId="6D0DABAA">
      <w:pPr>
        <w:ind w:firstLine="480" w:firstLineChars="200"/>
        <w:rPr>
          <w:rStyle w:val="23"/>
          <w:rFonts w:hint="eastAsia" w:ascii="仿宋" w:hAnsi="仿宋" w:eastAsia="仿宋" w:cs="仿宋"/>
          <w:b w:val="0"/>
          <w:bCs/>
          <w:color w:val="auto"/>
          <w:kern w:val="0"/>
          <w:sz w:val="24"/>
          <w:highlight w:val="none"/>
          <w:shd w:val="clear" w:color="auto" w:fill="FFFFFF"/>
          <w:lang w:bidi="ar"/>
        </w:rPr>
      </w:pPr>
      <w:r>
        <w:rPr>
          <w:rStyle w:val="23"/>
          <w:rFonts w:hint="eastAsia" w:ascii="仿宋" w:hAnsi="仿宋" w:eastAsia="仿宋" w:cs="仿宋"/>
          <w:b w:val="0"/>
          <w:bCs/>
          <w:color w:val="auto"/>
          <w:kern w:val="0"/>
          <w:sz w:val="24"/>
          <w:highlight w:val="none"/>
          <w:shd w:val="clear" w:color="auto" w:fill="FFFFFF"/>
          <w:lang w:bidi="ar"/>
        </w:rPr>
        <w:t>3.开标地点：湖州市吴兴区学士路1号湖州学院和谐餐厅2楼开标室；</w:t>
      </w:r>
    </w:p>
    <w:p w14:paraId="24692900">
      <w:pPr>
        <w:ind w:firstLine="480" w:firstLineChars="200"/>
        <w:rPr>
          <w:rStyle w:val="23"/>
          <w:rFonts w:hint="eastAsia" w:ascii="仿宋" w:hAnsi="仿宋" w:eastAsia="仿宋" w:cs="仿宋"/>
          <w:b w:val="0"/>
          <w:bCs/>
          <w:color w:val="auto"/>
          <w:kern w:val="0"/>
          <w:sz w:val="24"/>
          <w:highlight w:val="none"/>
          <w:shd w:val="clear" w:color="auto" w:fill="FFFFFF"/>
          <w:lang w:bidi="ar"/>
        </w:rPr>
      </w:pPr>
      <w:r>
        <w:rPr>
          <w:rStyle w:val="23"/>
          <w:rFonts w:hint="eastAsia" w:ascii="仿宋" w:hAnsi="仿宋" w:eastAsia="仿宋" w:cs="仿宋"/>
          <w:b w:val="0"/>
          <w:bCs/>
          <w:color w:val="auto"/>
          <w:kern w:val="0"/>
          <w:sz w:val="24"/>
          <w:highlight w:val="none"/>
          <w:shd w:val="clear" w:color="auto" w:fill="FFFFFF"/>
          <w:lang w:bidi="ar"/>
        </w:rPr>
        <w:t>4.联系人：徐老师  电话：（0572）2112239</w:t>
      </w:r>
    </w:p>
    <w:p w14:paraId="77E56ABF">
      <w:pPr>
        <w:ind w:firstLine="480" w:firstLineChars="200"/>
        <w:rPr>
          <w:rStyle w:val="23"/>
          <w:rFonts w:hint="eastAsia" w:ascii="仿宋" w:hAnsi="仿宋" w:eastAsia="仿宋" w:cs="仿宋"/>
          <w:b w:val="0"/>
          <w:bCs/>
          <w:color w:val="auto"/>
          <w:kern w:val="0"/>
          <w:sz w:val="24"/>
          <w:highlight w:val="none"/>
          <w:shd w:val="clear" w:color="auto" w:fill="FFFFFF"/>
          <w:lang w:bidi="ar"/>
        </w:rPr>
      </w:pPr>
      <w:r>
        <w:rPr>
          <w:rStyle w:val="23"/>
          <w:rFonts w:hint="eastAsia" w:ascii="仿宋" w:hAnsi="仿宋" w:eastAsia="仿宋" w:cs="仿宋"/>
          <w:b w:val="0"/>
          <w:bCs/>
          <w:color w:val="auto"/>
          <w:kern w:val="0"/>
          <w:sz w:val="24"/>
          <w:highlight w:val="none"/>
          <w:shd w:val="clear" w:color="auto" w:fill="FFFFFF"/>
          <w:lang w:bidi="ar"/>
        </w:rPr>
        <w:t>技术咨询联系人：史老师 （0572）2110730</w:t>
      </w:r>
    </w:p>
    <w:p w14:paraId="276AF0B9">
      <w:pPr>
        <w:ind w:firstLine="480" w:firstLineChars="200"/>
        <w:rPr>
          <w:rFonts w:ascii="仿宋" w:hAnsi="仿宋" w:eastAsia="仿宋" w:cs="仿宋"/>
          <w:color w:val="auto"/>
          <w:kern w:val="0"/>
          <w:sz w:val="24"/>
          <w:highlight w:val="none"/>
          <w:shd w:val="clear" w:color="auto" w:fill="FFFFFF"/>
          <w:lang w:bidi="ar"/>
        </w:rPr>
      </w:pPr>
      <w:r>
        <w:rPr>
          <w:rStyle w:val="23"/>
          <w:rFonts w:hint="eastAsia" w:ascii="仿宋" w:hAnsi="仿宋" w:eastAsia="仿宋" w:cs="仿宋"/>
          <w:b w:val="0"/>
          <w:bCs/>
          <w:color w:val="auto"/>
          <w:kern w:val="0"/>
          <w:sz w:val="24"/>
          <w:highlight w:val="none"/>
          <w:shd w:val="clear" w:color="auto" w:fill="FFFFFF"/>
          <w:lang w:bidi="ar"/>
        </w:rPr>
        <w:t>邮寄地址：湖州市吴兴区学士路1号湖州学院和谐餐厅2楼210室</w:t>
      </w:r>
      <w:r>
        <w:rPr>
          <w:rFonts w:hint="eastAsia" w:ascii="仿宋" w:hAnsi="仿宋" w:eastAsia="仿宋" w:cs="仿宋"/>
          <w:color w:val="auto"/>
          <w:kern w:val="0"/>
          <w:sz w:val="24"/>
          <w:highlight w:val="none"/>
          <w:shd w:val="clear" w:color="auto" w:fill="FFFFFF"/>
          <w:lang w:bidi="ar"/>
        </w:rPr>
        <w:t xml:space="preserve"> </w:t>
      </w:r>
    </w:p>
    <w:p w14:paraId="25E3883A">
      <w:pPr>
        <w:ind w:firstLine="1670" w:firstLineChars="696"/>
        <w:rPr>
          <w:rFonts w:hint="eastAsia" w:ascii="仿宋" w:hAnsi="仿宋" w:eastAsia="仿宋" w:cs="仿宋"/>
          <w:color w:val="auto"/>
          <w:kern w:val="0"/>
          <w:sz w:val="24"/>
          <w:highlight w:val="none"/>
          <w:shd w:val="clear" w:color="auto" w:fill="FFFFFF"/>
          <w:lang w:bidi="ar"/>
        </w:rPr>
      </w:pPr>
      <w:r>
        <w:rPr>
          <w:rFonts w:hint="eastAsia" w:ascii="仿宋" w:hAnsi="仿宋" w:eastAsia="仿宋" w:cs="仿宋"/>
          <w:color w:val="auto"/>
          <w:kern w:val="0"/>
          <w:sz w:val="24"/>
          <w:highlight w:val="none"/>
          <w:shd w:val="clear" w:color="auto" w:fill="FFFFFF"/>
          <w:lang w:bidi="ar"/>
        </w:rPr>
        <w:t>徐老师收 （0572）2112239</w:t>
      </w:r>
    </w:p>
    <w:p w14:paraId="3F95BAD6">
      <w:pPr>
        <w:pStyle w:val="18"/>
        <w:ind w:firstLine="240"/>
        <w:rPr>
          <w:rStyle w:val="23"/>
          <w:rFonts w:hint="eastAsia" w:ascii="仿宋" w:hAnsi="仿宋" w:eastAsia="仿宋" w:cs="仿宋"/>
          <w:b w:val="0"/>
          <w:bCs/>
          <w:color w:val="auto"/>
          <w:highlight w:val="none"/>
          <w:shd w:val="clear" w:color="auto" w:fill="FFFFFF"/>
          <w:lang w:bidi="ar"/>
        </w:rPr>
      </w:pPr>
      <w:r>
        <w:rPr>
          <w:rStyle w:val="23"/>
          <w:rFonts w:hint="eastAsia" w:ascii="仿宋" w:hAnsi="仿宋" w:eastAsia="仿宋" w:cs="仿宋"/>
          <w:b w:val="0"/>
          <w:bCs/>
          <w:color w:val="auto"/>
          <w:highlight w:val="none"/>
          <w:shd w:val="clear" w:color="auto" w:fill="FFFFFF"/>
          <w:lang w:bidi="ar"/>
        </w:rPr>
        <w:t>注：</w:t>
      </w:r>
      <w:r>
        <w:rPr>
          <w:rStyle w:val="23"/>
          <w:rFonts w:hint="eastAsia" w:ascii="仿宋" w:hAnsi="仿宋" w:eastAsia="仿宋" w:cs="仿宋"/>
          <w:b w:val="0"/>
          <w:bCs/>
          <w:color w:val="auto"/>
          <w:highlight w:val="none"/>
          <w:shd w:val="clear" w:color="auto" w:fill="FFFFFF"/>
          <w:lang w:val="en-US" w:eastAsia="zh-CN" w:bidi="ar"/>
        </w:rPr>
        <w:t>1.</w:t>
      </w:r>
      <w:r>
        <w:rPr>
          <w:rStyle w:val="23"/>
          <w:rFonts w:hint="eastAsia" w:ascii="仿宋" w:hAnsi="仿宋" w:eastAsia="仿宋" w:cs="仿宋"/>
          <w:b w:val="0"/>
          <w:bCs/>
          <w:color w:val="auto"/>
          <w:highlight w:val="none"/>
          <w:shd w:val="clear" w:color="auto" w:fill="FFFFFF"/>
          <w:lang w:bidi="ar"/>
        </w:rPr>
        <w:t>供应商未现场参与开标，视同默认开标结果。供应商应确保投标文件在邮寄过程中密封包装完好，因邮寄过程造成损坏而不符合开标要求的，湖州学院采购事务中心概不负责。</w:t>
      </w:r>
    </w:p>
    <w:p w14:paraId="26B1938A">
      <w:pPr>
        <w:pStyle w:val="18"/>
        <w:ind w:firstLine="720" w:firstLineChars="300"/>
        <w:rPr>
          <w:rFonts w:hint="default" w:eastAsia="仿宋"/>
          <w:color w:val="auto"/>
          <w:highlight w:val="none"/>
          <w:lang w:val="en-US" w:eastAsia="zh-CN"/>
        </w:rPr>
      </w:pPr>
      <w:r>
        <w:rPr>
          <w:rStyle w:val="23"/>
          <w:rFonts w:hint="eastAsia" w:ascii="仿宋" w:hAnsi="仿宋" w:eastAsia="仿宋" w:cs="仿宋"/>
          <w:b w:val="0"/>
          <w:bCs/>
          <w:color w:val="auto"/>
          <w:highlight w:val="none"/>
          <w:shd w:val="clear" w:color="auto" w:fill="FFFFFF"/>
          <w:lang w:val="en-US" w:eastAsia="zh-CN" w:bidi="ar"/>
        </w:rPr>
        <w:t>2.供应商资格认定由采购事务中心进行初审，最终由评审委员会根据投标文件认定。</w:t>
      </w:r>
    </w:p>
    <w:p w14:paraId="636C3B42">
      <w:pPr>
        <w:ind w:firstLine="482" w:firstLineChars="200"/>
        <w:rPr>
          <w:rStyle w:val="23"/>
          <w:rFonts w:hint="eastAsia" w:ascii="仿宋" w:hAnsi="仿宋" w:eastAsia="仿宋" w:cs="仿宋"/>
          <w:b/>
          <w:bCs w:val="0"/>
          <w:color w:val="auto"/>
          <w:kern w:val="0"/>
          <w:sz w:val="24"/>
          <w:szCs w:val="22"/>
          <w:highlight w:val="none"/>
          <w:shd w:val="clear" w:color="auto" w:fill="FFFFFF"/>
          <w:lang w:val="en-US" w:eastAsia="zh-CN" w:bidi="ar"/>
        </w:rPr>
      </w:pPr>
      <w:r>
        <w:rPr>
          <w:rStyle w:val="23"/>
          <w:rFonts w:hint="eastAsia" w:ascii="仿宋" w:hAnsi="仿宋" w:eastAsia="仿宋" w:cs="仿宋"/>
          <w:b/>
          <w:bCs w:val="0"/>
          <w:color w:val="auto"/>
          <w:kern w:val="0"/>
          <w:sz w:val="24"/>
          <w:szCs w:val="22"/>
          <w:highlight w:val="none"/>
          <w:shd w:val="clear" w:color="auto" w:fill="FFFFFF"/>
          <w:lang w:val="en-US" w:eastAsia="zh-CN" w:bidi="ar"/>
        </w:rPr>
        <w:t>五、中标办法</w:t>
      </w:r>
    </w:p>
    <w:p w14:paraId="4369B563">
      <w:pPr>
        <w:ind w:firstLine="480" w:firstLineChars="200"/>
        <w:rPr>
          <w:rStyle w:val="23"/>
          <w:rFonts w:hint="eastAsia" w:ascii="仿宋" w:hAnsi="仿宋" w:eastAsia="仿宋" w:cs="仿宋"/>
          <w:b w:val="0"/>
          <w:bCs/>
          <w:color w:val="auto"/>
          <w:kern w:val="0"/>
          <w:sz w:val="24"/>
          <w:szCs w:val="22"/>
          <w:highlight w:val="none"/>
          <w:shd w:val="clear" w:color="auto" w:fill="FFFFFF"/>
          <w:lang w:val="en-US" w:eastAsia="zh-CN" w:bidi="ar"/>
        </w:rPr>
      </w:pPr>
      <w:r>
        <w:rPr>
          <w:rStyle w:val="23"/>
          <w:rFonts w:hint="eastAsia" w:ascii="仿宋" w:hAnsi="仿宋" w:eastAsia="仿宋" w:cs="仿宋"/>
          <w:b w:val="0"/>
          <w:bCs/>
          <w:color w:val="auto"/>
          <w:kern w:val="0"/>
          <w:sz w:val="24"/>
          <w:szCs w:val="22"/>
          <w:highlight w:val="none"/>
          <w:shd w:val="clear" w:color="auto" w:fill="FFFFFF"/>
          <w:lang w:val="en-US" w:eastAsia="zh-CN" w:bidi="ar"/>
        </w:rPr>
        <w:t>根据综合评标法确定拟中标单位。</w:t>
      </w:r>
    </w:p>
    <w:p w14:paraId="5FF2D0A1">
      <w:pPr>
        <w:ind w:firstLine="480" w:firstLineChars="200"/>
        <w:rPr>
          <w:rStyle w:val="23"/>
          <w:rFonts w:hint="eastAsia" w:ascii="仿宋" w:hAnsi="仿宋" w:eastAsia="仿宋" w:cs="仿宋"/>
          <w:b w:val="0"/>
          <w:bCs/>
          <w:color w:val="auto"/>
          <w:kern w:val="0"/>
          <w:sz w:val="24"/>
          <w:szCs w:val="22"/>
          <w:highlight w:val="none"/>
          <w:shd w:val="clear" w:color="auto" w:fill="FFFFFF"/>
          <w:lang w:val="en-US" w:eastAsia="zh-CN" w:bidi="ar"/>
        </w:rPr>
      </w:pPr>
      <w:r>
        <w:rPr>
          <w:rStyle w:val="23"/>
          <w:rFonts w:hint="eastAsia" w:ascii="仿宋" w:hAnsi="仿宋" w:eastAsia="仿宋" w:cs="仿宋"/>
          <w:b w:val="0"/>
          <w:bCs/>
          <w:color w:val="auto"/>
          <w:kern w:val="0"/>
          <w:sz w:val="24"/>
          <w:szCs w:val="22"/>
          <w:highlight w:val="none"/>
          <w:shd w:val="clear" w:color="auto" w:fill="FFFFFF"/>
          <w:lang w:val="en-US" w:eastAsia="zh-CN" w:bidi="ar"/>
        </w:rPr>
        <w:t>注：如出现中标人拒签合同，招标人将根据实际情况，采用“按序递补”或“重新招标”的方式重新确定中标人。</w:t>
      </w:r>
    </w:p>
    <w:p w14:paraId="2549B4A2">
      <w:pPr>
        <w:ind w:firstLine="482" w:firstLineChars="200"/>
        <w:rPr>
          <w:rFonts w:ascii="仿宋_GB2312" w:eastAsia="仿宋_GB2312"/>
          <w:b/>
          <w:color w:val="auto"/>
          <w:sz w:val="24"/>
          <w:highlight w:val="none"/>
        </w:rPr>
      </w:pPr>
      <w:r>
        <w:rPr>
          <w:rFonts w:hint="eastAsia" w:ascii="仿宋" w:hAnsi="仿宋" w:eastAsia="仿宋"/>
          <w:b/>
          <w:color w:val="auto"/>
          <w:sz w:val="24"/>
          <w:highlight w:val="none"/>
        </w:rPr>
        <w:t>六、订购及付款方式：</w:t>
      </w:r>
    </w:p>
    <w:p w14:paraId="554B0A38">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根据省财政厅《关于进一步发挥政府采购政策功能全力推动经济稳进提质的通知》（浙财采监【2022】3号）要求，制定如下付款方式：</w:t>
      </w:r>
    </w:p>
    <w:p w14:paraId="64EAAC62">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（1）合同签订生效及具备实施条件后7个工作日内支付预付款，即合同金额的40%；</w:t>
      </w:r>
    </w:p>
    <w:p w14:paraId="1F33503A">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（2）经采购人终验后支付至合同金额100%。</w:t>
      </w:r>
    </w:p>
    <w:p w14:paraId="44B11200">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注：若中标供应商明确表示无需预付款或者主动要求降低预付款比例的，采购人可不适用前述规定。</w:t>
      </w:r>
    </w:p>
    <w:p w14:paraId="16C68E45">
      <w:pPr>
        <w:numPr>
          <w:ilvl w:val="0"/>
          <w:numId w:val="2"/>
        </w:numPr>
        <w:spacing w:line="340" w:lineRule="exact"/>
        <w:ind w:firstLine="482" w:firstLineChars="200"/>
        <w:jc w:val="left"/>
        <w:rPr>
          <w:rFonts w:ascii="仿宋" w:hAnsi="仿宋" w:eastAsia="仿宋"/>
          <w:b/>
          <w:bCs/>
          <w:color w:val="auto"/>
          <w:sz w:val="24"/>
          <w:highlight w:val="none"/>
        </w:rPr>
      </w:pPr>
      <w:r>
        <w:rPr>
          <w:rFonts w:hint="eastAsia" w:ascii="仿宋" w:hAnsi="仿宋" w:eastAsia="仿宋"/>
          <w:b/>
          <w:bCs/>
          <w:color w:val="auto"/>
          <w:sz w:val="24"/>
          <w:highlight w:val="none"/>
        </w:rPr>
        <w:t>合同签订</w:t>
      </w:r>
    </w:p>
    <w:p w14:paraId="35C3D2F9">
      <w:pPr>
        <w:spacing w:line="340" w:lineRule="exact"/>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中标通知书发出后30日内。</w:t>
      </w:r>
    </w:p>
    <w:p w14:paraId="5AACE6A2">
      <w:pPr>
        <w:spacing w:before="100"/>
        <w:ind w:firstLine="480" w:firstLineChars="200"/>
        <w:jc w:val="left"/>
        <w:rPr>
          <w:rFonts w:ascii="黑体" w:hAnsi="黑体" w:eastAsia="黑体" w:cs="黑体"/>
          <w:color w:val="auto"/>
          <w:sz w:val="24"/>
          <w:highlight w:val="none"/>
        </w:rPr>
      </w:pPr>
      <w:r>
        <w:rPr>
          <w:rFonts w:hint="eastAsia" w:ascii="黑体" w:hAnsi="黑体" w:eastAsia="黑体" w:cs="黑体"/>
          <w:color w:val="auto"/>
          <w:sz w:val="24"/>
          <w:highlight w:val="none"/>
        </w:rPr>
        <w:t>附件：1.评标办法及评分标准</w:t>
      </w:r>
    </w:p>
    <w:p w14:paraId="6B74040A">
      <w:pPr>
        <w:spacing w:before="100"/>
        <w:ind w:firstLine="1200" w:firstLineChars="500"/>
        <w:jc w:val="left"/>
        <w:rPr>
          <w:rFonts w:ascii="黑体" w:hAnsi="黑体" w:eastAsia="黑体" w:cs="黑体"/>
          <w:color w:val="auto"/>
          <w:sz w:val="24"/>
          <w:highlight w:val="none"/>
        </w:rPr>
      </w:pPr>
      <w:r>
        <w:rPr>
          <w:rFonts w:hint="eastAsia" w:ascii="黑体" w:hAnsi="黑体" w:eastAsia="黑体" w:cs="黑体"/>
          <w:color w:val="auto"/>
          <w:sz w:val="24"/>
          <w:highlight w:val="none"/>
        </w:rPr>
        <w:t>2.投标文件模板</w:t>
      </w:r>
    </w:p>
    <w:p w14:paraId="5C36FD16">
      <w:pPr>
        <w:spacing w:line="340" w:lineRule="exact"/>
        <w:ind w:firstLine="480" w:firstLineChars="200"/>
        <w:jc w:val="right"/>
        <w:rPr>
          <w:rFonts w:hint="eastAsia" w:ascii="仿宋" w:hAnsi="仿宋" w:eastAsia="仿宋"/>
          <w:color w:val="auto"/>
          <w:sz w:val="24"/>
          <w:highlight w:val="none"/>
        </w:rPr>
      </w:pPr>
      <w:r>
        <w:rPr>
          <w:rFonts w:hint="eastAsia" w:ascii="仿宋" w:hAnsi="仿宋" w:eastAsia="仿宋"/>
          <w:color w:val="auto"/>
          <w:sz w:val="24"/>
          <w:highlight w:val="none"/>
        </w:rPr>
        <w:t xml:space="preserve">湖州学院采购事务中心                                     </w:t>
      </w:r>
    </w:p>
    <w:p w14:paraId="16C6508A">
      <w:pPr>
        <w:spacing w:line="340" w:lineRule="exact"/>
        <w:ind w:firstLine="480" w:firstLineChars="200"/>
        <w:jc w:val="right"/>
        <w:rPr>
          <w:rFonts w:hint="eastAsia" w:ascii="仿宋" w:hAnsi="仿宋" w:eastAsia="仿宋"/>
          <w:color w:val="auto"/>
          <w:sz w:val="24"/>
          <w:highlight w:val="none"/>
        </w:rPr>
      </w:pPr>
      <w:r>
        <w:rPr>
          <w:rFonts w:hint="eastAsia" w:ascii="仿宋" w:hAnsi="仿宋" w:eastAsia="仿宋"/>
          <w:color w:val="auto"/>
          <w:sz w:val="24"/>
          <w:highlight w:val="none"/>
        </w:rPr>
        <w:t>202</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年</w:t>
      </w:r>
      <w:r>
        <w:rPr>
          <w:rFonts w:hint="eastAsia" w:ascii="仿宋" w:hAnsi="仿宋" w:eastAsia="仿宋"/>
          <w:color w:val="auto"/>
          <w:sz w:val="24"/>
          <w:highlight w:val="none"/>
          <w:lang w:val="en-US" w:eastAsia="zh-CN"/>
        </w:rPr>
        <w:t>11</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日</w:t>
      </w:r>
    </w:p>
    <w:p w14:paraId="08775973">
      <w:pPr>
        <w:spacing w:line="340" w:lineRule="exact"/>
        <w:ind w:firstLine="480" w:firstLineChars="200"/>
        <w:jc w:val="right"/>
        <w:rPr>
          <w:rFonts w:hint="eastAsia" w:ascii="仿宋" w:hAnsi="仿宋" w:eastAsia="仿宋"/>
          <w:color w:val="auto"/>
          <w:sz w:val="24"/>
          <w:highlight w:val="none"/>
        </w:rPr>
        <w:sectPr>
          <w:headerReference r:id="rId3" w:type="default"/>
          <w:footerReference r:id="rId4" w:type="default"/>
          <w:pgSz w:w="11906" w:h="16838"/>
          <w:pgMar w:top="1134" w:right="1531" w:bottom="992" w:left="1531" w:header="851" w:footer="964" w:gutter="0"/>
          <w:cols w:space="720" w:num="1"/>
          <w:docGrid w:type="lines" w:linePitch="312" w:charSpace="0"/>
        </w:sectPr>
      </w:pPr>
    </w:p>
    <w:p w14:paraId="0F307BF9">
      <w:pPr>
        <w:spacing w:line="360" w:lineRule="auto"/>
        <w:jc w:val="center"/>
        <w:rPr>
          <w:rFonts w:ascii="黑体" w:hAnsi="Calibri" w:eastAsia="黑体"/>
          <w:b/>
          <w:bCs/>
          <w:color w:val="auto"/>
          <w:sz w:val="36"/>
          <w:szCs w:val="36"/>
          <w:highlight w:val="none"/>
        </w:rPr>
      </w:pPr>
      <w:r>
        <w:rPr>
          <w:rFonts w:hint="eastAsia" w:ascii="黑体" w:hAnsi="Calibri" w:eastAsia="黑体"/>
          <w:b/>
          <w:bCs/>
          <w:color w:val="auto"/>
          <w:sz w:val="36"/>
          <w:szCs w:val="36"/>
          <w:highlight w:val="none"/>
          <w:lang w:val="en-US" w:eastAsia="zh-CN"/>
        </w:rPr>
        <w:t>采购</w:t>
      </w:r>
      <w:r>
        <w:rPr>
          <w:rFonts w:hint="eastAsia" w:ascii="黑体" w:hAnsi="Calibri" w:eastAsia="黑体"/>
          <w:b/>
          <w:bCs/>
          <w:color w:val="auto"/>
          <w:sz w:val="36"/>
          <w:szCs w:val="36"/>
          <w:highlight w:val="none"/>
        </w:rPr>
        <w:t>需求</w:t>
      </w:r>
    </w:p>
    <w:p w14:paraId="025552F8">
      <w:pPr>
        <w:snapToGrid w:val="0"/>
        <w:spacing w:line="360" w:lineRule="auto"/>
        <w:ind w:firstLine="422" w:firstLineChars="200"/>
        <w:rPr>
          <w:rFonts w:ascii="仿宋" w:hAnsi="仿宋"/>
          <w:b/>
          <w:color w:val="auto"/>
          <w:highlight w:val="none"/>
        </w:rPr>
      </w:pPr>
      <w:r>
        <w:rPr>
          <w:rFonts w:hint="eastAsia" w:ascii="仿宋" w:hAnsi="仿宋"/>
          <w:b/>
          <w:color w:val="auto"/>
          <w:highlight w:val="none"/>
        </w:rPr>
        <w:t>一、建设背景</w:t>
      </w:r>
    </w:p>
    <w:p w14:paraId="3DF5146F">
      <w:pPr>
        <w:snapToGrid w:val="0"/>
        <w:spacing w:line="360" w:lineRule="auto"/>
        <w:ind w:firstLine="440" w:firstLineChars="200"/>
        <w:rPr>
          <w:color w:val="auto"/>
          <w:sz w:val="22"/>
          <w:highlight w:val="none"/>
        </w:rPr>
      </w:pPr>
      <w:r>
        <w:rPr>
          <w:rFonts w:hint="eastAsia"/>
          <w:color w:val="auto"/>
          <w:sz w:val="22"/>
          <w:highlight w:val="none"/>
        </w:rPr>
        <w:t>中共中央办公厅、国务院办公厅在《关于进一步加强和改进新形势下高校宣传思想工作的意见》中明确指出：“加强高校意识形态阵地建设是一项战略工程、固本工程、铸魂工程。”在人人都是自媒体的时代，高校更要注重网络意识形态阵地的建设和管理。</w:t>
      </w:r>
    </w:p>
    <w:p w14:paraId="5D921200">
      <w:pPr>
        <w:snapToGrid w:val="0"/>
        <w:spacing w:line="360" w:lineRule="auto"/>
        <w:ind w:firstLine="440" w:firstLineChars="200"/>
        <w:rPr>
          <w:color w:val="auto"/>
          <w:sz w:val="22"/>
          <w:highlight w:val="none"/>
        </w:rPr>
      </w:pPr>
      <w:r>
        <w:rPr>
          <w:rFonts w:hint="eastAsia"/>
          <w:color w:val="auto"/>
          <w:sz w:val="22"/>
          <w:highlight w:val="none"/>
        </w:rPr>
        <w:t>高校需要做好形象管理、思想宣传、校园文化建设，这对于高校舆情监测，及校媒管理都提出了更高的管理要求。但目前高校对于舆情监测校媒管理处于滞后、分散、隔离的现状，无法适应“新媒体时代”的快速发展的需求。需要维护网络意识形态安全，提高院师生对于维护网络意识形态安全的自觉性。</w:t>
      </w:r>
    </w:p>
    <w:p w14:paraId="2E266D05">
      <w:pPr>
        <w:pStyle w:val="10"/>
        <w:snapToGrid w:val="0"/>
        <w:spacing w:line="360" w:lineRule="auto"/>
        <w:ind w:firstLine="422" w:firstLineChars="200"/>
        <w:rPr>
          <w:rFonts w:hint="default"/>
          <w:color w:val="auto"/>
          <w:highlight w:val="none"/>
        </w:rPr>
      </w:pPr>
      <w:r>
        <w:rPr>
          <w:rFonts w:hint="default" w:ascii="仿宋" w:hAnsi="仿宋"/>
          <w:b/>
          <w:color w:val="auto"/>
          <w:szCs w:val="24"/>
          <w:highlight w:val="none"/>
        </w:rPr>
        <w:t>二、项目建设</w:t>
      </w:r>
      <w:r>
        <w:rPr>
          <w:rFonts w:ascii="仿宋" w:hAnsi="仿宋"/>
          <w:b/>
          <w:color w:val="auto"/>
          <w:szCs w:val="24"/>
          <w:highlight w:val="none"/>
        </w:rPr>
        <w:t>内容</w:t>
      </w:r>
    </w:p>
    <w:p w14:paraId="3ACABFE9">
      <w:pPr>
        <w:pStyle w:val="4"/>
        <w:numPr>
          <w:ilvl w:val="0"/>
          <w:numId w:val="0"/>
        </w:numP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一、技术方案</w:t>
      </w:r>
    </w:p>
    <w:p w14:paraId="1DB9AF8D">
      <w:pPr>
        <w:pStyle w:val="4"/>
        <w:numPr>
          <w:ilvl w:val="1"/>
          <w:numId w:val="0"/>
        </w:numPr>
        <w:ind w:left="567" w:leftChars="0" w:hanging="283"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1.1</w:t>
      </w:r>
      <w:r>
        <w:rPr>
          <w:rFonts w:hint="eastAsia" w:ascii="宋体" w:hAnsi="宋体" w:eastAsia="宋体" w:cs="宋体"/>
          <w:color w:val="auto"/>
          <w:sz w:val="22"/>
          <w:szCs w:val="22"/>
          <w:highlight w:val="none"/>
        </w:rPr>
        <w:t>总体设计</w:t>
      </w:r>
    </w:p>
    <w:p w14:paraId="75EBFDD7">
      <w:pPr>
        <w:ind w:firstLine="420"/>
        <w:rPr>
          <w:rFonts w:ascii="宋体" w:hAnsi="宋体" w:cs="宋体"/>
          <w:color w:val="auto"/>
          <w:sz w:val="22"/>
          <w:szCs w:val="22"/>
          <w:highlight w:val="none"/>
        </w:rPr>
      </w:pPr>
      <w:r>
        <w:rPr>
          <w:rFonts w:hint="eastAsia" w:ascii="宋体" w:hAnsi="宋体" w:cs="宋体"/>
          <w:color w:val="auto"/>
          <w:sz w:val="22"/>
          <w:szCs w:val="22"/>
          <w:highlight w:val="none"/>
        </w:rPr>
        <w:t>系统总体框架由数据采集层、数据存储层、数据分析层和业务应用层组成。各层间的界限清晰，功能明确而不交叉，具有较高的可配置性和伸缩性。</w:t>
      </w:r>
    </w:p>
    <w:p w14:paraId="07E1EA7C">
      <w:pPr>
        <w:pStyle w:val="4"/>
        <w:numPr>
          <w:ilvl w:val="1"/>
          <w:numId w:val="0"/>
        </w:numPr>
        <w:ind w:left="567" w:leftChars="0" w:hanging="283" w:firstLineChars="0"/>
        <w:rPr>
          <w:rFonts w:ascii="宋体" w:hAnsi="宋体" w:eastAsia="宋体" w:cs="宋体"/>
          <w:color w:val="auto"/>
          <w:sz w:val="22"/>
          <w:szCs w:val="22"/>
          <w:highlight w:val="none"/>
        </w:rPr>
      </w:pPr>
      <w:bookmarkStart w:id="1" w:name="_Toc138761299"/>
      <w:r>
        <w:rPr>
          <w:rFonts w:hint="eastAsia" w:ascii="宋体" w:hAnsi="宋体" w:eastAsia="宋体" w:cs="宋体"/>
          <w:b/>
          <w:bCs/>
          <w:color w:val="auto"/>
          <w:kern w:val="2"/>
          <w:sz w:val="22"/>
          <w:szCs w:val="22"/>
          <w:highlight w:val="none"/>
          <w:lang w:val="en-US" w:eastAsia="zh-CN" w:bidi="ar-SA"/>
        </w:rPr>
        <w:t>1.2</w:t>
      </w:r>
      <w:r>
        <w:rPr>
          <w:rFonts w:hint="eastAsia" w:ascii="宋体" w:hAnsi="宋体" w:eastAsia="宋体" w:cs="宋体"/>
          <w:color w:val="auto"/>
          <w:sz w:val="22"/>
          <w:szCs w:val="22"/>
          <w:highlight w:val="none"/>
        </w:rPr>
        <w:t>安全设计</w:t>
      </w:r>
      <w:bookmarkEnd w:id="1"/>
    </w:p>
    <w:p w14:paraId="3655BC78">
      <w:pPr>
        <w:ind w:firstLine="420"/>
        <w:rPr>
          <w:rFonts w:ascii="宋体" w:hAnsi="宋体" w:cs="宋体"/>
          <w:color w:val="auto"/>
          <w:sz w:val="22"/>
          <w:szCs w:val="22"/>
          <w:highlight w:val="none"/>
        </w:rPr>
      </w:pPr>
      <w:r>
        <w:rPr>
          <w:rFonts w:hint="eastAsia" w:ascii="宋体" w:hAnsi="宋体" w:cs="宋体"/>
          <w:color w:val="auto"/>
          <w:sz w:val="22"/>
          <w:szCs w:val="22"/>
          <w:highlight w:val="none"/>
        </w:rPr>
        <w:t>本平台建设中使用的机房、网络等环境均统一纳入市网信办软硬件支撑运行环境进行管理，因此本平台建设的安全环境以及运行环境满足安全等级保护三级的要求。</w:t>
      </w:r>
    </w:p>
    <w:p w14:paraId="081E0426">
      <w:pPr>
        <w:pStyle w:val="4"/>
        <w:numPr>
          <w:ilvl w:val="0"/>
          <w:numId w:val="0"/>
        </w:numPr>
        <w:rPr>
          <w:rFonts w:ascii="宋体" w:hAnsi="宋体" w:eastAsia="宋体" w:cs="宋体"/>
          <w:color w:val="auto"/>
          <w:sz w:val="22"/>
          <w:szCs w:val="22"/>
          <w:highlight w:val="none"/>
        </w:rPr>
      </w:pPr>
      <w:bookmarkStart w:id="2" w:name="_Toc138761300"/>
      <w:r>
        <w:rPr>
          <w:rFonts w:hint="eastAsia" w:ascii="宋体" w:hAnsi="宋体" w:eastAsia="宋体" w:cs="宋体"/>
          <w:color w:val="auto"/>
          <w:sz w:val="22"/>
          <w:szCs w:val="22"/>
          <w:highlight w:val="none"/>
        </w:rPr>
        <w:t>二、功能方案</w:t>
      </w:r>
      <w:bookmarkEnd w:id="2"/>
    </w:p>
    <w:p w14:paraId="7820253F">
      <w:pPr>
        <w:pStyle w:val="4"/>
        <w:numPr>
          <w:ilvl w:val="1"/>
          <w:numId w:val="0"/>
        </w:numPr>
        <w:ind w:left="567" w:leftChars="0" w:hanging="283" w:firstLineChars="0"/>
        <w:rPr>
          <w:rFonts w:ascii="宋体" w:hAnsi="宋体" w:eastAsia="宋体" w:cs="宋体"/>
          <w:color w:val="auto"/>
          <w:sz w:val="22"/>
          <w:szCs w:val="22"/>
          <w:highlight w:val="none"/>
        </w:rPr>
      </w:pPr>
      <w:bookmarkStart w:id="3" w:name="_Toc138761301"/>
      <w:r>
        <w:rPr>
          <w:rFonts w:hint="eastAsia" w:ascii="宋体" w:hAnsi="宋体" w:eastAsia="宋体" w:cs="宋体"/>
          <w:b/>
          <w:bCs/>
          <w:color w:val="auto"/>
          <w:kern w:val="2"/>
          <w:sz w:val="22"/>
          <w:szCs w:val="22"/>
          <w:highlight w:val="none"/>
          <w:lang w:val="en-US" w:eastAsia="zh-CN" w:bidi="ar-SA"/>
        </w:rPr>
        <w:t>1.3</w:t>
      </w:r>
      <w:r>
        <w:rPr>
          <w:rFonts w:hint="eastAsia" w:ascii="宋体" w:hAnsi="宋体" w:eastAsia="宋体" w:cs="宋体"/>
          <w:color w:val="auto"/>
          <w:sz w:val="22"/>
          <w:szCs w:val="22"/>
          <w:highlight w:val="none"/>
        </w:rPr>
        <w:t>属地舆情信息持续监测</w:t>
      </w:r>
      <w:bookmarkEnd w:id="3"/>
    </w:p>
    <w:p w14:paraId="3CA9AD46">
      <w:pPr>
        <w:ind w:firstLine="420"/>
        <w:rPr>
          <w:rFonts w:ascii="宋体" w:hAnsi="宋体" w:cs="宋体"/>
          <w:color w:val="auto"/>
          <w:sz w:val="22"/>
          <w:szCs w:val="22"/>
          <w:highlight w:val="none"/>
        </w:rPr>
      </w:pPr>
      <w:r>
        <w:rPr>
          <w:rFonts w:hint="eastAsia" w:ascii="宋体" w:hAnsi="宋体" w:cs="宋体"/>
          <w:color w:val="auto"/>
          <w:sz w:val="22"/>
          <w:szCs w:val="22"/>
          <w:highlight w:val="none"/>
        </w:rPr>
        <w:t>依托语义分析、数据标签、机器学习等大数据和人工智能技术，逐步建立集数据价值挖掘、重大风险预警、舆情态势预判、重点账号动态跟踪等功能于一体的舆情数据系统。</w:t>
      </w:r>
    </w:p>
    <w:p w14:paraId="636913DF">
      <w:pPr>
        <w:pStyle w:val="4"/>
        <w:numPr>
          <w:ilvl w:val="2"/>
          <w:numId w:val="0"/>
        </w:numPr>
        <w:ind w:left="720" w:hanging="294"/>
        <w:rPr>
          <w:rFonts w:ascii="宋体" w:hAnsi="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1.3.1</w:t>
      </w:r>
      <w:r>
        <w:rPr>
          <w:rFonts w:hint="eastAsia" w:ascii="宋体" w:hAnsi="宋体" w:eastAsia="宋体" w:cs="宋体"/>
          <w:b/>
          <w:bCs/>
          <w:color w:val="auto"/>
          <w:sz w:val="22"/>
          <w:szCs w:val="22"/>
          <w:highlight w:val="none"/>
        </w:rPr>
        <w:t>舆情</w:t>
      </w:r>
      <w:r>
        <w:rPr>
          <w:rFonts w:hint="eastAsia" w:ascii="宋体" w:hAnsi="宋体" w:eastAsia="宋体" w:cs="宋体"/>
          <w:color w:val="auto"/>
          <w:sz w:val="22"/>
          <w:szCs w:val="22"/>
          <w:highlight w:val="none"/>
        </w:rPr>
        <w:t>总览</w:t>
      </w:r>
      <w:r>
        <w:rPr>
          <w:rFonts w:hint="eastAsia" w:ascii="宋体" w:hAnsi="宋体" w:eastAsia="宋体" w:cs="宋体"/>
          <w:b/>
          <w:bCs/>
          <w:color w:val="auto"/>
          <w:sz w:val="22"/>
          <w:szCs w:val="22"/>
          <w:highlight w:val="none"/>
        </w:rPr>
        <w:t>：</w:t>
      </w:r>
    </w:p>
    <w:p w14:paraId="00E963EF">
      <w:pPr>
        <w:ind w:firstLine="420"/>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须支持用可视化图表结合的方式展示最少1个监测方案，最多10个监测方案的数据融合展示。包括预警信息、敏感信息、信息属性走势图、媒体来源占比、监测详情、热门方案和账号详情。</w:t>
      </w:r>
    </w:p>
    <w:p w14:paraId="6277BB0C">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1.3.2</w:t>
      </w:r>
      <w:r>
        <w:rPr>
          <w:rFonts w:hint="eastAsia" w:ascii="宋体" w:hAnsi="宋体" w:eastAsia="宋体" w:cs="宋体"/>
          <w:color w:val="auto"/>
          <w:sz w:val="22"/>
          <w:szCs w:val="22"/>
          <w:highlight w:val="none"/>
        </w:rPr>
        <w:t>舆情监测</w:t>
      </w:r>
    </w:p>
    <w:p w14:paraId="5CC025D5">
      <w:pPr>
        <w:tabs>
          <w:tab w:val="left" w:pos="432"/>
          <w:tab w:val="left" w:pos="720"/>
        </w:tabs>
        <w:spacing w:after="156" w:afterLines="50" w:line="240" w:lineRule="atLeast"/>
        <w:ind w:left="426"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舆情监测模块须包含信息列表、图表分析、定向信源设置、预警设置和修改方案（任务）等子栏目。</w:t>
      </w:r>
    </w:p>
    <w:p w14:paraId="4D52E079">
      <w:pPr>
        <w:spacing w:after="156" w:afterLines="50" w:line="240" w:lineRule="atLeast"/>
        <w:ind w:firstLine="420"/>
        <w:rPr>
          <w:rFonts w:ascii="宋体" w:hAnsi="宋体" w:cs="宋体"/>
          <w:color w:val="auto"/>
          <w:sz w:val="22"/>
          <w:szCs w:val="22"/>
          <w:highlight w:val="none"/>
          <w:lang w:val="zh-CN"/>
        </w:rPr>
      </w:pPr>
      <w:r>
        <w:rPr>
          <w:rFonts w:hint="eastAsia" w:ascii="宋体" w:hAnsi="宋体" w:cs="宋体"/>
          <w:color w:val="auto"/>
          <w:sz w:val="22"/>
          <w:szCs w:val="22"/>
          <w:highlight w:val="none"/>
        </w:rPr>
        <w:t>舆情监测模块具备对境内外主流新闻网站、短视频、论坛、贴吧、电子报、微博、博客、微信公众账号、境外网站等的数据采集，并能根据用户求对采集网站进行添加，提供至少</w:t>
      </w:r>
      <w:r>
        <w:rPr>
          <w:rFonts w:ascii="宋体" w:hAnsi="宋体" w:cs="宋体"/>
          <w:color w:val="auto"/>
          <w:sz w:val="22"/>
          <w:szCs w:val="22"/>
          <w:highlight w:val="none"/>
        </w:rPr>
        <w:t>18</w:t>
      </w:r>
      <w:r>
        <w:rPr>
          <w:rFonts w:hint="eastAsia" w:ascii="宋体" w:hAnsi="宋体" w:cs="宋体"/>
          <w:color w:val="auto"/>
          <w:sz w:val="22"/>
          <w:szCs w:val="22"/>
          <w:highlight w:val="none"/>
        </w:rPr>
        <w:t>个月的数据存储，并实现图片</w:t>
      </w:r>
      <w:r>
        <w:rPr>
          <w:rFonts w:ascii="宋体" w:hAnsi="宋体" w:cs="宋体"/>
          <w:color w:val="auto"/>
          <w:sz w:val="22"/>
          <w:szCs w:val="22"/>
          <w:highlight w:val="none"/>
        </w:rPr>
        <w:t>OCR</w:t>
      </w:r>
      <w:r>
        <w:rPr>
          <w:rFonts w:hint="eastAsia" w:ascii="宋体" w:hAnsi="宋体" w:cs="宋体"/>
          <w:color w:val="auto"/>
          <w:sz w:val="22"/>
          <w:szCs w:val="22"/>
          <w:highlight w:val="none"/>
        </w:rPr>
        <w:t>功能，可识别图片、横幅、拍照等资料中出现的文字信息。支持微博信息实时检测。除文字中包含的地域词外，还可对</w:t>
      </w:r>
      <w:r>
        <w:rPr>
          <w:rFonts w:hint="eastAsia" w:ascii="宋体" w:hAnsi="宋体" w:cs="宋体"/>
          <w:color w:val="auto"/>
          <w:sz w:val="22"/>
          <w:szCs w:val="22"/>
          <w:highlight w:val="none"/>
          <w:lang w:val="zh-CN" w:bidi="en-US"/>
        </w:rPr>
        <w:t>属地注册</w:t>
      </w:r>
      <w:r>
        <w:rPr>
          <w:rFonts w:hint="eastAsia" w:ascii="宋体" w:hAnsi="宋体" w:cs="宋体"/>
          <w:color w:val="auto"/>
          <w:sz w:val="22"/>
          <w:szCs w:val="22"/>
          <w:highlight w:val="none"/>
          <w:lang w:val="zh-CN"/>
        </w:rPr>
        <w:t>账号、属地发布信息、属地人民网留言板、属地问政平台等维度属地类型实现舆情监测。</w:t>
      </w:r>
    </w:p>
    <w:p w14:paraId="6D696166">
      <w:pPr>
        <w:spacing w:after="156" w:afterLines="50" w:line="240" w:lineRule="atLeast"/>
        <w:ind w:firstLine="420"/>
        <w:rPr>
          <w:rFonts w:ascii="宋体" w:hAnsi="宋体" w:cs="宋体"/>
          <w:color w:val="auto"/>
          <w:sz w:val="22"/>
          <w:szCs w:val="22"/>
          <w:highlight w:val="none"/>
        </w:rPr>
      </w:pPr>
      <w:r>
        <w:rPr>
          <w:rFonts w:hint="eastAsia" w:ascii="宋体" w:hAnsi="宋体" w:cs="宋体"/>
          <w:color w:val="auto"/>
          <w:sz w:val="22"/>
          <w:szCs w:val="22"/>
          <w:highlight w:val="none"/>
        </w:rPr>
        <w:t>支持针对微博信息、网媒信息可以实现一键溯源分析。溯源信息需包括信息概况、首发、关键传播路径、引爆点、转发时间趋势。</w:t>
      </w:r>
    </w:p>
    <w:p w14:paraId="57EBB36A">
      <w:pPr>
        <w:spacing w:after="156" w:afterLines="50" w:line="240" w:lineRule="atLeast"/>
        <w:ind w:firstLine="420"/>
        <w:rPr>
          <w:rFonts w:ascii="宋体" w:hAnsi="宋体" w:cs="宋体"/>
          <w:color w:val="auto"/>
          <w:sz w:val="22"/>
          <w:szCs w:val="22"/>
          <w:highlight w:val="none"/>
        </w:rPr>
      </w:pPr>
      <w:r>
        <w:rPr>
          <w:rFonts w:hint="eastAsia" w:ascii="宋体" w:hAnsi="宋体" w:cs="宋体"/>
          <w:color w:val="auto"/>
          <w:sz w:val="22"/>
          <w:szCs w:val="22"/>
          <w:highlight w:val="none"/>
        </w:rPr>
        <w:t>智能识别含图片的信息，可对图片信息和视频封面进行分析处理，并可识别图中和视频封面上的文字信息。</w:t>
      </w:r>
    </w:p>
    <w:p w14:paraId="45399D0B">
      <w:pPr>
        <w:spacing w:after="0" w:afterLines="-2147483648" w:line="240" w:lineRule="auto"/>
        <w:ind w:firstLine="420"/>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对信息的语义分析处理包括非敏感、中性和敏感识别(情感识别)、噪音处理、地域识别、主体识别(人名/机构识别)、自动摘要、用户画像、情感判断、关键词云、实体识别和同源矩阵等。</w:t>
      </w:r>
    </w:p>
    <w:p w14:paraId="485F468F">
      <w:pPr>
        <w:spacing w:after="156" w:afterLines="50" w:line="240" w:lineRule="atLeast"/>
        <w:ind w:firstLine="420"/>
        <w:rPr>
          <w:rFonts w:ascii="宋体" w:hAnsi="宋体" w:cs="宋体"/>
          <w:color w:val="auto"/>
          <w:sz w:val="22"/>
          <w:szCs w:val="22"/>
          <w:highlight w:val="none"/>
        </w:rPr>
      </w:pPr>
      <w:r>
        <w:rPr>
          <w:rFonts w:hint="eastAsia" w:ascii="宋体" w:hAnsi="宋体" w:cs="宋体"/>
          <w:color w:val="auto"/>
          <w:sz w:val="22"/>
          <w:szCs w:val="22"/>
          <w:highlight w:val="none"/>
        </w:rPr>
        <w:t>图表分析子栏目实现对舆情信息信息的综合分析，能够针对数据源、正负面信息、信息走势等进行不同维度、不同时间区间的分析。提供可视化图表展示。支持自定义时间段内的信息数据总量、非敏感数据、中性数据和敏感数据的的展示、支持信息来源走势图、媒体来源分布图、敏感走势图、敏感占比图、信息来源占比、关键词云、媒体活跃度、活跃作者、地域分布图、信息行业分布图、微博信息发布规律图、微博类型、微博情绪地图等分析图标的显示。</w:t>
      </w:r>
    </w:p>
    <w:p w14:paraId="0D2B9438">
      <w:pPr>
        <w:spacing w:after="156" w:afterLines="50" w:line="240" w:lineRule="atLeast"/>
        <w:ind w:firstLine="420"/>
        <w:rPr>
          <w:rFonts w:ascii="宋体" w:hAnsi="宋体" w:cs="宋体"/>
          <w:color w:val="auto"/>
          <w:sz w:val="22"/>
          <w:szCs w:val="22"/>
          <w:highlight w:val="none"/>
        </w:rPr>
      </w:pPr>
      <w:r>
        <w:rPr>
          <w:rFonts w:hint="eastAsia" w:ascii="宋体" w:hAnsi="宋体" w:cs="宋体"/>
          <w:color w:val="auto"/>
          <w:sz w:val="22"/>
          <w:szCs w:val="22"/>
          <w:highlight w:val="none"/>
        </w:rPr>
        <w:t>舆情监测模块修改方案（任务）子栏目支持对客户需要监测内容的进行自定义设置，方案（任务）通过与“+”、或“|”、组合“( )”三种逻辑符号完成监测方案（任务）的设置。单个监测方案（任务）监测关键词至少支持1000个字，排除关键词至少支持1000个字。 精准筛选支持对监测关键字的词距（两个关键词之间的字距小于您的设定值的信息会出现在精准列表中，大于您的设定值则自动过滤不显示）、地域设置（设置精准地域后，信息中只有当设置的地域词权重最高，才会被判为精准信息。）和精准排除行业的设置（选择需要暂时的行业信息）。</w:t>
      </w:r>
    </w:p>
    <w:p w14:paraId="5811B95E">
      <w:pPr>
        <w:spacing w:after="156" w:afterLines="50" w:line="240" w:lineRule="atLeast"/>
        <w:ind w:firstLine="420"/>
        <w:rPr>
          <w:rFonts w:ascii="宋体" w:hAnsi="宋体" w:cs="宋体"/>
          <w:color w:val="auto"/>
          <w:sz w:val="22"/>
          <w:szCs w:val="22"/>
          <w:highlight w:val="none"/>
        </w:rPr>
      </w:pPr>
      <w:r>
        <w:rPr>
          <w:rFonts w:hint="eastAsia" w:ascii="宋体" w:hAnsi="宋体" w:cs="宋体"/>
          <w:color w:val="auto"/>
          <w:sz w:val="22"/>
          <w:szCs w:val="22"/>
          <w:highlight w:val="none"/>
        </w:rPr>
        <w:t>舆情监测模块定向信源设置栏目可根据客户的监测需求选择定向信源（指定信息来源）或者排除定向信源（指定信息来源）,至少同时支持300个信源的定向，支持批量定向，定向信源类型支持网站、微博、微信公众号、二级贴吧、自媒体账号和抖音五大类。设置该功能后，非指定信源的信息系统自动过滤不显示。</w:t>
      </w:r>
    </w:p>
    <w:p w14:paraId="71BD5BB5">
      <w:pPr>
        <w:ind w:firstLine="0"/>
        <w:rPr>
          <w:rFonts w:ascii="宋体" w:hAnsi="宋体" w:cs="宋体"/>
          <w:color w:val="auto"/>
          <w:sz w:val="22"/>
          <w:szCs w:val="22"/>
          <w:highlight w:val="none"/>
        </w:rPr>
      </w:pPr>
    </w:p>
    <w:p w14:paraId="6ADD9201">
      <w:pPr>
        <w:ind w:firstLine="420"/>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舆情监测模块预警设置栏目通过相关设置系统根据条件自动推送舆情信息警告，预警设置需支持设置预警词设置、预警条件设置（信息属性、来源网站、信源区域、预警是否去重等自定义选项）预警方式设置（至少支持邮件、客户端、短信、pc弹窗和微信5种预警方式）、预警时间设置（接收时间、预警间隔和周末是否预警三个自定义选项）。</w:t>
      </w:r>
    </w:p>
    <w:p w14:paraId="16425199">
      <w:pPr>
        <w:ind w:firstLine="420"/>
        <w:rPr>
          <w:rFonts w:ascii="宋体" w:hAnsi="宋体" w:cs="宋体"/>
          <w:color w:val="auto"/>
          <w:sz w:val="22"/>
          <w:szCs w:val="22"/>
          <w:highlight w:val="none"/>
        </w:rPr>
      </w:pPr>
      <w:r>
        <w:rPr>
          <w:rFonts w:hint="eastAsia" w:ascii="宋体" w:hAnsi="宋体" w:cs="宋体"/>
          <w:color w:val="auto"/>
          <w:sz w:val="22"/>
          <w:szCs w:val="22"/>
          <w:highlight w:val="none"/>
        </w:rPr>
        <w:t>按照简单明确的数据指标判断预警信息的级别。系统支持预警分级，通过信源级别、互动数、粉丝数、阅读数、相似文章数等设置一般、中等和严重的三个级别。</w:t>
      </w:r>
    </w:p>
    <w:p w14:paraId="14E0064D">
      <w:pPr>
        <w:widowControl/>
        <w:tabs>
          <w:tab w:val="left" w:pos="432"/>
        </w:tabs>
        <w:ind w:firstLine="440" w:firstLineChars="200"/>
        <w:jc w:val="left"/>
        <w:rPr>
          <w:rFonts w:ascii="宋体" w:hAnsi="宋体" w:cs="宋体"/>
          <w:color w:val="auto"/>
          <w:sz w:val="22"/>
          <w:szCs w:val="22"/>
          <w:highlight w:val="none"/>
        </w:rPr>
      </w:pPr>
      <w:r>
        <w:rPr>
          <w:rFonts w:hint="eastAsia" w:ascii="宋体" w:hAnsi="宋体" w:cs="宋体"/>
          <w:color w:val="auto"/>
          <w:sz w:val="22"/>
          <w:szCs w:val="22"/>
          <w:highlight w:val="none"/>
        </w:rPr>
        <w:t>打开A</w:t>
      </w:r>
      <w:r>
        <w:rPr>
          <w:rFonts w:ascii="宋体" w:hAnsi="宋体" w:cs="宋体"/>
          <w:color w:val="auto"/>
          <w:sz w:val="22"/>
          <w:szCs w:val="22"/>
          <w:highlight w:val="none"/>
        </w:rPr>
        <w:t>I 预警</w:t>
      </w:r>
      <w:r>
        <w:rPr>
          <w:rFonts w:hint="eastAsia" w:ascii="宋体" w:hAnsi="宋体" w:cs="宋体"/>
          <w:color w:val="auto"/>
          <w:sz w:val="22"/>
          <w:szCs w:val="22"/>
          <w:highlight w:val="none"/>
        </w:rPr>
        <w:t>后，系统</w:t>
      </w:r>
      <w:r>
        <w:rPr>
          <w:rFonts w:ascii="宋体" w:hAnsi="宋体" w:cs="宋体"/>
          <w:color w:val="auto"/>
          <w:sz w:val="22"/>
          <w:szCs w:val="22"/>
          <w:highlight w:val="none"/>
        </w:rPr>
        <w:t>会根据您的反馈，通过大模型能力优化预警信息，记得对收到的预警信息进行评价！若关闭，则仅按照设置的条件进行预警。</w:t>
      </w:r>
    </w:p>
    <w:p w14:paraId="3AB19E78">
      <w:pPr>
        <w:ind w:firstLine="420"/>
        <w:rPr>
          <w:rFonts w:ascii="宋体" w:hAnsi="宋体" w:cs="宋体"/>
          <w:color w:val="auto"/>
          <w:sz w:val="22"/>
          <w:szCs w:val="22"/>
          <w:highlight w:val="none"/>
        </w:rPr>
      </w:pPr>
    </w:p>
    <w:p w14:paraId="62A4EA41">
      <w:pPr>
        <w:ind w:firstLine="420"/>
        <w:rPr>
          <w:rFonts w:ascii="宋体" w:hAnsi="宋体" w:cs="宋体"/>
          <w:color w:val="auto"/>
          <w:sz w:val="22"/>
          <w:szCs w:val="22"/>
          <w:highlight w:val="none"/>
        </w:rPr>
      </w:pPr>
    </w:p>
    <w:p w14:paraId="0A7C4656">
      <w:pPr>
        <w:pStyle w:val="4"/>
        <w:numPr>
          <w:ilvl w:val="1"/>
          <w:numId w:val="0"/>
        </w:numPr>
        <w:ind w:left="567" w:leftChars="0" w:hanging="283"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1.4</w:t>
      </w:r>
      <w:r>
        <w:rPr>
          <w:rFonts w:hint="eastAsia" w:ascii="宋体" w:hAnsi="宋体" w:eastAsia="宋体" w:cs="宋体"/>
          <w:color w:val="auto"/>
          <w:sz w:val="22"/>
          <w:szCs w:val="22"/>
          <w:highlight w:val="none"/>
        </w:rPr>
        <w:t>热搜监测</w:t>
      </w:r>
    </w:p>
    <w:p w14:paraId="0E4FD056">
      <w:pPr>
        <w:ind w:firstLine="420"/>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实现对微博热搜榜、微博实时上升榜、微博话题榜、微博品牌榜、抖音热榜、百度热榜、头条热搜榜、豆瓣话题榜、知乎热榜、B站热榜、贴吧热议榜、中国搜索榜、网易、小红书热搜榜和快手热搜榜等</w:t>
      </w:r>
      <w:r>
        <w:rPr>
          <w:rFonts w:ascii="宋体" w:hAnsi="宋体" w:cs="宋体"/>
          <w:color w:val="auto"/>
          <w:sz w:val="22"/>
          <w:szCs w:val="22"/>
          <w:highlight w:val="none"/>
        </w:rPr>
        <w:t>15</w:t>
      </w:r>
      <w:r>
        <w:rPr>
          <w:rFonts w:hint="eastAsia" w:ascii="宋体" w:hAnsi="宋体" w:cs="宋体"/>
          <w:color w:val="auto"/>
          <w:sz w:val="22"/>
          <w:szCs w:val="22"/>
          <w:highlight w:val="none"/>
        </w:rPr>
        <w:t>大主流平台榜单的监测，当客户关注的属地信息出现在榜单上，系统第一时间在邮件、短信、微信推送和系统推送预警提醒。</w:t>
      </w:r>
    </w:p>
    <w:p w14:paraId="0BD8E0D7">
      <w:pPr>
        <w:ind w:firstLine="420"/>
        <w:rPr>
          <w:rFonts w:ascii="宋体" w:hAnsi="宋体" w:cs="宋体"/>
          <w:color w:val="auto"/>
          <w:sz w:val="22"/>
          <w:szCs w:val="22"/>
          <w:highlight w:val="none"/>
        </w:rPr>
      </w:pPr>
    </w:p>
    <w:p w14:paraId="660922BA">
      <w:pPr>
        <w:pStyle w:val="4"/>
        <w:numPr>
          <w:ilvl w:val="1"/>
          <w:numId w:val="0"/>
        </w:numPr>
        <w:ind w:left="567" w:hanging="283"/>
        <w:rPr>
          <w:rFonts w:ascii="宋体" w:hAnsi="宋体" w:cs="宋体"/>
          <w:color w:val="auto"/>
          <w:sz w:val="22"/>
          <w:szCs w:val="22"/>
          <w:highlight w:val="none"/>
        </w:rPr>
      </w:pPr>
      <w:bookmarkStart w:id="4" w:name="_Toc138761308"/>
      <w:r>
        <w:rPr>
          <w:rFonts w:hint="eastAsia" w:ascii="宋体" w:hAnsi="宋体" w:eastAsia="宋体" w:cs="宋体"/>
          <w:b/>
          <w:bCs/>
          <w:color w:val="auto"/>
          <w:kern w:val="2"/>
          <w:sz w:val="22"/>
          <w:szCs w:val="22"/>
          <w:highlight w:val="none"/>
          <w:lang w:val="en-US" w:eastAsia="zh-CN" w:bidi="ar-SA"/>
        </w:rPr>
        <w:t>1.5</w:t>
      </w:r>
      <w:r>
        <w:rPr>
          <w:rFonts w:hint="eastAsia" w:ascii="宋体" w:hAnsi="宋体" w:eastAsia="宋体" w:cs="宋体"/>
          <w:b/>
          <w:bCs/>
          <w:color w:val="auto"/>
          <w:sz w:val="22"/>
          <w:szCs w:val="22"/>
          <w:highlight w:val="none"/>
        </w:rPr>
        <w:t>全文检索</w:t>
      </w:r>
    </w:p>
    <w:p w14:paraId="6F3B0266">
      <w:pPr>
        <w:ind w:firstLine="420"/>
        <w:rPr>
          <w:rFonts w:ascii="宋体" w:hAnsi="宋体" w:cs="宋体"/>
          <w:color w:val="auto"/>
          <w:sz w:val="22"/>
          <w:szCs w:val="22"/>
          <w:highlight w:val="none"/>
          <w:lang w:eastAsia="zh-Hans" w:bidi="ar"/>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模块支持对系统库内全量信息的自定义搜索功能，支持精准搜索（必须命中关键词并且关键词不能分开）和模糊搜索两种搜搜模式，此外支持动态显示24小时内全国8大类（政务、民生、经济、法治、教育、交通、公共安全和医疗行业）的热点榜前十热点信息）。其中政务包含政务政策、党务、廉政建设、政务活动、外交、政务其他、港澳台、主题活动、营商环境、营商评价、市监宣传、智慧城市和工作作风等13类子榜；民生包含扶贫、环境、民政、食药品安全、社会其他、辟谣治谣、积水、户籍管理、施工管理、养宠纠纷、交通建设、房屋管理、消防通道、违建、小区管理、拆迁征收、摊位管理、车位、城运其他和劳动纠纷等20类子榜；经济包含房产、汽车、旅游、科技、通讯、能源、制造、建筑、农业、电商、金融、经济其他、酒店、餐饮、物流、服务其他、养老服务、商业街区、消费纠纷和市场监管等20类子榜；法制包含公安、检察、法院、司法行政、刑事案件、社会治安、辱警袭警、交通事故、侵权案件、违法违纪、政法宣传、政法其他、交通违法、行政执法和违规执法等15类子榜；教育包含高校、中学、小学、学前教育、教育机构、校园管理、师德师风、招生考试、校园暴力、校园安全、素质教育、教育改革、理念模式、教育其他和教育科研等15类子榜。交通包含航空、铁路、公路、公交、租约车和水运等6类子榜；公关安全包含自然灾害、灾难事故、社会安全、防灾减灾和公共卫生事件5类子榜；医疗包含医疗机构、医药企业、医疗其他、防治措施、健康宣教和卫生监督等6类子榜。</w:t>
      </w:r>
      <w:bookmarkEnd w:id="4"/>
    </w:p>
    <w:p w14:paraId="40F8721F">
      <w:pPr>
        <w:pStyle w:val="4"/>
        <w:numPr>
          <w:ilvl w:val="1"/>
          <w:numId w:val="0"/>
        </w:numPr>
        <w:ind w:left="567" w:leftChars="0" w:hanging="283"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1.6</w:t>
      </w:r>
      <w:r>
        <w:rPr>
          <w:rFonts w:hint="eastAsia" w:ascii="宋体" w:hAnsi="宋体" w:eastAsia="宋体" w:cs="宋体"/>
          <w:color w:val="auto"/>
          <w:sz w:val="22"/>
          <w:szCs w:val="22"/>
          <w:highlight w:val="none"/>
        </w:rPr>
        <w:t>舆情简报</w:t>
      </w:r>
    </w:p>
    <w:p w14:paraId="7F71D90B">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舆情简报模块支持简报自定义生成、下载；支持报告模版自定义设置，提供至少10个信息维度。支持报告自动生成word、pdf、excel格式下载，并支持通过邮件和微信方式发送生成的报告。     </w:t>
      </w:r>
    </w:p>
    <w:p w14:paraId="5A71D32D">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1）可将监测方案监测结果、搜索结果的任意内容加入收藏夹，作为简报素材保存。</w:t>
      </w:r>
    </w:p>
    <w:p w14:paraId="49700D1A">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2）可将已生成舆情报告的内容，再度释放为简报素材，用户重新生产简报。</w:t>
      </w:r>
    </w:p>
    <w:p w14:paraId="1790BCAA">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3）生成简报时，可以任意调整每一个模块的位置，并自动保存为固有模板，供下次继续使用。</w:t>
      </w:r>
    </w:p>
    <w:p w14:paraId="065C8D53">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4）生成的简报可以WORD及EXCEL格式导出下载至本地留档保存，也可通过系统直接以电子邮件、手机短信的方式发送给相关人员。</w:t>
      </w:r>
    </w:p>
    <w:p w14:paraId="08250FA6">
      <w:pPr>
        <w:pStyle w:val="25"/>
        <w:rPr>
          <w:rFonts w:hint="eastAsia" w:ascii="宋体" w:hAnsi="宋体" w:cs="宋体"/>
          <w:color w:val="auto"/>
          <w:sz w:val="22"/>
          <w:szCs w:val="22"/>
          <w:highlight w:val="none"/>
        </w:rPr>
      </w:pPr>
      <w:r>
        <w:rPr>
          <w:rFonts w:hint="eastAsia" w:ascii="宋体" w:hAnsi="宋体" w:cs="宋体"/>
          <w:color w:val="auto"/>
          <w:sz w:val="22"/>
          <w:szCs w:val="22"/>
          <w:highlight w:val="none"/>
        </w:rPr>
        <w:t>5）简报模板可由用户在做简报时自由定制，无预先由系统内置或管理人员预先制作模板。</w:t>
      </w:r>
    </w:p>
    <w:p w14:paraId="4B1FFF8C">
      <w:pPr>
        <w:pStyle w:val="4"/>
        <w:numPr>
          <w:ilvl w:val="1"/>
          <w:numId w:val="0"/>
        </w:numPr>
        <w:ind w:left="567" w:leftChars="0" w:hanging="283"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1.7</w:t>
      </w:r>
      <w:r>
        <w:rPr>
          <w:rFonts w:hint="eastAsia" w:ascii="宋体" w:hAnsi="宋体" w:eastAsia="宋体" w:cs="宋体"/>
          <w:color w:val="auto"/>
          <w:sz w:val="22"/>
          <w:szCs w:val="22"/>
          <w:highlight w:val="none"/>
        </w:rPr>
        <w:t>舆情分析</w:t>
      </w:r>
    </w:p>
    <w:p w14:paraId="3CAB4941">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1.7.1</w:t>
      </w:r>
      <w:r>
        <w:rPr>
          <w:rFonts w:hint="eastAsia" w:ascii="宋体" w:hAnsi="宋体" w:eastAsia="宋体" w:cs="宋体"/>
          <w:color w:val="auto"/>
          <w:sz w:val="22"/>
          <w:szCs w:val="22"/>
          <w:highlight w:val="none"/>
        </w:rPr>
        <w:t>全网事件分析</w:t>
      </w:r>
    </w:p>
    <w:p w14:paraId="0D2F8E14">
      <w:pPr>
        <w:pStyle w:val="25"/>
        <w:rPr>
          <w:rFonts w:ascii="宋体" w:hAnsi="宋体" w:cs="宋体"/>
          <w:color w:val="auto"/>
          <w:sz w:val="22"/>
          <w:szCs w:val="22"/>
          <w:highlight w:val="none"/>
        </w:rPr>
      </w:pPr>
      <w:r>
        <w:rPr>
          <w:rFonts w:hint="eastAsia" w:ascii="宋体" w:hAnsi="宋体" w:cs="宋体"/>
          <w:color w:val="auto"/>
          <w:sz w:val="22"/>
          <w:szCs w:val="22"/>
          <w:highlight w:val="none"/>
        </w:rPr>
        <w:t>支持通过设置事件关键词系统自动生成全网分析报告，维度包含事件概述（包含信息总量、波峰值、平均传播速度、最大舆论场、媒体舆论场、分来源信息量、首发媒体详情、相关信息概述）、传播走势（信息传播走势、信息传播详情、信息传播路径、信息传播详情、信息传播路径、）、媒体解析（媒体参与详情、媒体报道印象、媒体观点聚类分析、微博参与详情、微博事件印象、微博观点聚类分析、视频参与详情、视频事件印象、视频观点聚类分析）、数据透视（信息属性走势、地域分析、平台活跃度占比、热点网民）、文本分析（事件实体识别、群体情绪识别）和舆情总结，生成全网分析报告支持。生成的报告支持word、pdf格式下载。。</w:t>
      </w:r>
    </w:p>
    <w:p w14:paraId="6F6A1DD2">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1.7.2</w:t>
      </w:r>
      <w:r>
        <w:rPr>
          <w:rFonts w:hint="eastAsia" w:ascii="宋体" w:hAnsi="宋体" w:eastAsia="宋体" w:cs="宋体"/>
          <w:color w:val="auto"/>
          <w:sz w:val="22"/>
          <w:szCs w:val="22"/>
          <w:highlight w:val="none"/>
        </w:rPr>
        <w:t>微博事件分析</w:t>
      </w:r>
    </w:p>
    <w:p w14:paraId="5BD74DBB">
      <w:pPr>
        <w:pStyle w:val="25"/>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微博事件分析支持通过设置事件关键词系统自动生成微博（包含转发微博）分析报告，维度包含事件概述（事件总量、热点词云、热点话题）、事件传播（信息传播走势、事件传播途径、热门信息）数据分析（信息属性走势图、实体识别、情绪分析、用户活跃时段、微博内容分析、表情分析）、用户画像（用户认证分布、核心传播人、意见领袖、人群特征分析、观点聚类）和舆情总结。生成的报告支持word、pdf格式下载。</w:t>
      </w:r>
    </w:p>
    <w:p w14:paraId="23E6D470">
      <w:pPr>
        <w:pStyle w:val="4"/>
        <w:numPr>
          <w:ilvl w:val="2"/>
          <w:numId w:val="0"/>
        </w:numPr>
        <w:ind w:left="720" w:leftChars="0" w:hanging="294" w:firstLineChars="0"/>
        <w:rPr>
          <w:rFonts w:ascii="宋体" w:hAnsi="宋体" w:eastAsia="宋体" w:cs="宋体"/>
          <w:color w:val="auto"/>
          <w:sz w:val="22"/>
          <w:szCs w:val="22"/>
          <w:highlight w:val="none"/>
        </w:rPr>
      </w:pPr>
      <w:bookmarkStart w:id="5" w:name="_Toc138761313"/>
      <w:r>
        <w:rPr>
          <w:rFonts w:hint="eastAsia" w:ascii="宋体" w:hAnsi="宋体" w:eastAsia="宋体" w:cs="宋体"/>
          <w:b/>
          <w:bCs/>
          <w:color w:val="auto"/>
          <w:kern w:val="2"/>
          <w:sz w:val="22"/>
          <w:szCs w:val="22"/>
          <w:highlight w:val="none"/>
          <w:lang w:val="en-US" w:eastAsia="zh-CN" w:bidi="ar-SA"/>
        </w:rPr>
        <w:t>1.7.3</w:t>
      </w:r>
      <w:r>
        <w:rPr>
          <w:rFonts w:hint="eastAsia" w:ascii="宋体" w:hAnsi="宋体" w:eastAsia="宋体" w:cs="宋体"/>
          <w:color w:val="auto"/>
          <w:sz w:val="22"/>
          <w:szCs w:val="22"/>
          <w:highlight w:val="none"/>
        </w:rPr>
        <w:t>舆情案例库</w:t>
      </w:r>
      <w:bookmarkEnd w:id="5"/>
    </w:p>
    <w:p w14:paraId="1EEFD074">
      <w:pPr>
        <w:ind w:firstLine="420"/>
        <w:rPr>
          <w:rFonts w:ascii="宋体" w:hAnsi="宋体" w:cs="宋体"/>
          <w:color w:val="auto"/>
          <w:sz w:val="22"/>
          <w:szCs w:val="22"/>
          <w:highlight w:val="none"/>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提供突发事件、政务事件、公安、高等教育、k</w:t>
      </w:r>
      <w:r>
        <w:rPr>
          <w:rFonts w:ascii="宋体" w:hAnsi="宋体" w:cs="宋体"/>
          <w:color w:val="auto"/>
          <w:sz w:val="22"/>
          <w:szCs w:val="22"/>
          <w:highlight w:val="none"/>
        </w:rPr>
        <w:t>12</w:t>
      </w:r>
      <w:r>
        <w:rPr>
          <w:rFonts w:hint="eastAsia" w:ascii="宋体" w:hAnsi="宋体" w:cs="宋体"/>
          <w:color w:val="auto"/>
          <w:sz w:val="22"/>
          <w:szCs w:val="22"/>
          <w:highlight w:val="none"/>
        </w:rPr>
        <w:t>、快消行业、服务行业和旅游交8大类的案例库。具体案例分析维度包含但不限于案例概况、事件经过、传播分析、舆论分析和结果判断。</w:t>
      </w:r>
    </w:p>
    <w:p w14:paraId="0CEF135F">
      <w:pPr>
        <w:pStyle w:val="4"/>
        <w:numPr>
          <w:ilvl w:val="2"/>
          <w:numId w:val="0"/>
        </w:numPr>
        <w:ind w:left="720" w:leftChars="0" w:hanging="294" w:firstLineChars="0"/>
        <w:rPr>
          <w:rFonts w:ascii="宋体" w:hAnsi="宋体" w:eastAsia="宋体" w:cs="宋体"/>
          <w:color w:val="auto"/>
          <w:sz w:val="22"/>
          <w:szCs w:val="22"/>
          <w:highlight w:val="none"/>
        </w:rPr>
      </w:pPr>
      <w:bookmarkStart w:id="6" w:name="_Toc138761314"/>
      <w:r>
        <w:rPr>
          <w:rFonts w:hint="eastAsia" w:ascii="宋体" w:hAnsi="宋体" w:eastAsia="宋体" w:cs="宋体"/>
          <w:b/>
          <w:bCs/>
          <w:color w:val="auto"/>
          <w:kern w:val="2"/>
          <w:sz w:val="22"/>
          <w:szCs w:val="22"/>
          <w:highlight w:val="none"/>
          <w:lang w:val="en-US" w:eastAsia="zh-CN" w:bidi="ar-SA"/>
        </w:rPr>
        <w:t>1.</w:t>
      </w:r>
      <w:bookmarkEnd w:id="6"/>
      <w:r>
        <w:rPr>
          <w:rFonts w:hint="eastAsia" w:ascii="宋体" w:hAnsi="宋体" w:eastAsia="宋体" w:cs="宋体"/>
          <w:b/>
          <w:bCs/>
          <w:color w:val="auto"/>
          <w:kern w:val="2"/>
          <w:sz w:val="22"/>
          <w:szCs w:val="22"/>
          <w:highlight w:val="none"/>
          <w:lang w:val="en-US" w:eastAsia="zh-CN" w:bidi="ar-SA"/>
        </w:rPr>
        <w:t>8报告分析</w:t>
      </w:r>
    </w:p>
    <w:p w14:paraId="55075B15">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1.8.1</w:t>
      </w:r>
      <w:r>
        <w:rPr>
          <w:rFonts w:hint="eastAsia" w:ascii="宋体" w:hAnsi="宋体" w:eastAsia="宋体" w:cs="宋体"/>
          <w:color w:val="auto"/>
          <w:sz w:val="22"/>
          <w:szCs w:val="22"/>
          <w:highlight w:val="none"/>
        </w:rPr>
        <w:t>阶段性分析报告</w:t>
      </w:r>
    </w:p>
    <w:p w14:paraId="6A7C73C2">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提供由专业的舆情分析师提供的舆情半月报、月报、季度报等阶段性分析报告，以及专项事件报告等不同类型的报告，从传播趋势、倾向性趋势、平台传播路径等多个维度进行分析，为客户快速处置及决策提供参考建议。</w:t>
      </w:r>
    </w:p>
    <w:p w14:paraId="44B0B087">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半月报</w:t>
      </w:r>
    </w:p>
    <w:p w14:paraId="1D9C06CF">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对本单位两周所产生舆情信息的舆情趋势、舆情倾向、主要传播平台等做数据分析，对本月涉本单位重点舆情事件做重点分析、研判，并对当月舆情态势做综合研判。</w:t>
      </w:r>
    </w:p>
    <w:p w14:paraId="52C6154B">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事件专报</w:t>
      </w:r>
    </w:p>
    <w:p w14:paraId="657384AD">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在突发事件形成网络舆情后，通过分析该周期内舆情的传播走势、传播渠道分布、传播主体情况，总结出该周期内舆情的传播特征，网络情绪反应等要点；并给出处理建议。</w:t>
      </w:r>
    </w:p>
    <w:p w14:paraId="289F76FB">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事件快报</w:t>
      </w:r>
    </w:p>
    <w:p w14:paraId="447FCFEA">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在突发事件形成网络舆情后迅速提供信息汇总分析，通过总结网民声音及媒体态度，判断当前舆情态势，为客户单位快速决策提供参考依据。</w:t>
      </w:r>
    </w:p>
    <w:p w14:paraId="217D2650">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1.8.2</w:t>
      </w:r>
      <w:r>
        <w:rPr>
          <w:rFonts w:hint="eastAsia" w:ascii="宋体" w:hAnsi="宋体" w:eastAsia="宋体" w:cs="宋体"/>
          <w:color w:val="auto"/>
          <w:sz w:val="22"/>
          <w:szCs w:val="22"/>
          <w:highlight w:val="none"/>
        </w:rPr>
        <w:t>舆情风险研判</w:t>
      </w:r>
    </w:p>
    <w:p w14:paraId="1488CA12">
      <w:pPr>
        <w:ind w:firstLine="420"/>
        <w:rPr>
          <w:rFonts w:hint="eastAsia" w:ascii="宋体" w:hAnsi="宋体" w:cs="宋体"/>
          <w:color w:val="auto"/>
          <w:sz w:val="22"/>
          <w:szCs w:val="22"/>
          <w:highlight w:val="none"/>
          <w:lang w:bidi="ar"/>
        </w:rPr>
      </w:pPr>
      <w:r>
        <w:rPr>
          <w:rFonts w:hint="eastAsia" w:ascii="宋体" w:hAnsi="宋体" w:cs="宋体"/>
          <w:color w:val="auto"/>
          <w:sz w:val="22"/>
          <w:szCs w:val="22"/>
          <w:highlight w:val="none"/>
          <w:lang w:bidi="ar"/>
        </w:rPr>
        <w:t>可针对当下热点新闻、系统领域敏感信息分析。分析维度包含但不限于事件概括、首发媒体、事件脉络、发展趋势、调性分析、关键词云、微博分析等，提供事件风险研判，为客户全方位了解全国热点、排查本地风险提供有效帮助。支持根据某些热点事件生成专项报告，并通过专家视角对整个事件进行梳理分析。</w:t>
      </w:r>
    </w:p>
    <w:p w14:paraId="2DEE5B36">
      <w:pPr>
        <w:pStyle w:val="4"/>
        <w:numPr>
          <w:ilvl w:val="1"/>
          <w:numId w:val="0"/>
        </w:numPr>
        <w:ind w:left="567" w:leftChars="0" w:hanging="283" w:firstLineChars="0"/>
        <w:rPr>
          <w:rFonts w:ascii="宋体" w:hAnsi="宋体" w:eastAsia="宋体" w:cs="宋体"/>
          <w:color w:val="auto"/>
          <w:sz w:val="22"/>
          <w:szCs w:val="22"/>
          <w:highlight w:val="none"/>
        </w:rPr>
      </w:pPr>
      <w:bookmarkStart w:id="7" w:name="_Toc138761316"/>
      <w:r>
        <w:rPr>
          <w:rFonts w:hint="eastAsia" w:ascii="宋体" w:hAnsi="宋体" w:eastAsia="宋体" w:cs="宋体"/>
          <w:b/>
          <w:bCs/>
          <w:color w:val="auto"/>
          <w:kern w:val="2"/>
          <w:sz w:val="22"/>
          <w:szCs w:val="22"/>
          <w:highlight w:val="none"/>
          <w:lang w:val="en-US" w:eastAsia="zh-CN" w:bidi="ar-SA"/>
        </w:rPr>
        <w:t>1.9</w:t>
      </w:r>
      <w:r>
        <w:rPr>
          <w:rFonts w:hint="eastAsia" w:ascii="宋体" w:hAnsi="宋体" w:eastAsia="宋体" w:cs="宋体"/>
          <w:color w:val="auto"/>
          <w:sz w:val="22"/>
          <w:szCs w:val="22"/>
          <w:highlight w:val="none"/>
        </w:rPr>
        <w:t>短视频监测</w:t>
      </w:r>
      <w:bookmarkEnd w:id="7"/>
    </w:p>
    <w:p w14:paraId="21C8A2B0">
      <w:pPr>
        <w:ind w:firstLine="420"/>
        <w:rPr>
          <w:rFonts w:ascii="宋体" w:hAnsi="宋体" w:cs="宋体"/>
          <w:color w:val="auto"/>
          <w:sz w:val="22"/>
          <w:szCs w:val="22"/>
          <w:highlight w:val="none"/>
        </w:rPr>
      </w:pPr>
      <w:r>
        <w:rPr>
          <w:rFonts w:hint="eastAsia" w:ascii="宋体" w:hAnsi="宋体" w:cs="宋体"/>
          <w:color w:val="auto"/>
          <w:sz w:val="22"/>
          <w:szCs w:val="22"/>
          <w:highlight w:val="none"/>
        </w:rPr>
        <w:t>支持对主流视频平台的短视频音频、内容标题、描述、文本评论、点赞数量、转发量等进行实时监测，帮助客户第一时间发现短视频舆情，掌握舆情动态防止舆情危机。</w:t>
      </w:r>
    </w:p>
    <w:p w14:paraId="464D7CD5">
      <w:pPr>
        <w:pStyle w:val="4"/>
        <w:numPr>
          <w:ilvl w:val="2"/>
          <w:numId w:val="0"/>
        </w:numPr>
        <w:ind w:left="720" w:leftChars="0" w:hanging="294" w:firstLineChars="0"/>
        <w:rPr>
          <w:rFonts w:ascii="宋体" w:hAnsi="宋体" w:eastAsia="宋体" w:cs="宋体"/>
          <w:color w:val="auto"/>
          <w:sz w:val="22"/>
          <w:szCs w:val="22"/>
          <w:highlight w:val="none"/>
        </w:rPr>
      </w:pPr>
      <w:r>
        <w:rPr>
          <w:rFonts w:hint="eastAsia" w:ascii="宋体" w:hAnsi="宋体" w:eastAsia="宋体" w:cs="宋体"/>
          <w:b/>
          <w:bCs/>
          <w:color w:val="auto"/>
          <w:kern w:val="2"/>
          <w:sz w:val="22"/>
          <w:szCs w:val="22"/>
          <w:highlight w:val="none"/>
          <w:lang w:val="en-US" w:eastAsia="zh-CN" w:bidi="ar-SA"/>
        </w:rPr>
        <w:t>1.9.1</w:t>
      </w:r>
      <w:r>
        <w:rPr>
          <w:rFonts w:hint="eastAsia" w:ascii="宋体" w:hAnsi="宋体" w:eastAsia="宋体" w:cs="宋体"/>
          <w:color w:val="auto"/>
          <w:sz w:val="22"/>
          <w:szCs w:val="22"/>
          <w:highlight w:val="none"/>
        </w:rPr>
        <w:t>短视频监测</w:t>
      </w:r>
    </w:p>
    <w:p w14:paraId="0BFCCC59">
      <w:pPr>
        <w:ind w:firstLine="420"/>
        <w:rPr>
          <w:rFonts w:ascii="宋体" w:hAnsi="宋体" w:cs="宋体"/>
          <w:color w:val="auto"/>
          <w:sz w:val="22"/>
          <w:szCs w:val="22"/>
          <w:highlight w:val="none"/>
        </w:rPr>
      </w:pPr>
      <w:r>
        <w:rPr>
          <w:rFonts w:hint="eastAsia" w:ascii="宋体" w:hAnsi="宋体" w:cs="宋体"/>
          <w:color w:val="auto"/>
          <w:sz w:val="22"/>
          <w:szCs w:val="22"/>
          <w:highlight w:val="none"/>
        </w:rPr>
        <w:t>短视频数据及监测、分析能力，支持对</w:t>
      </w:r>
      <w:r>
        <w:rPr>
          <w:rFonts w:ascii="宋体" w:hAnsi="宋体" w:cs="宋体"/>
          <w:color w:val="auto"/>
          <w:sz w:val="22"/>
          <w:szCs w:val="22"/>
          <w:highlight w:val="none"/>
        </w:rPr>
        <w:t>21</w:t>
      </w:r>
      <w:r>
        <w:rPr>
          <w:rFonts w:hint="eastAsia" w:ascii="宋体" w:hAnsi="宋体" w:cs="宋体"/>
          <w:color w:val="auto"/>
          <w:sz w:val="22"/>
          <w:szCs w:val="22"/>
          <w:highlight w:val="none"/>
        </w:rPr>
        <w:t>个主流短视频平台数据进行更精准、深入的监测、搜索及分析。</w:t>
      </w:r>
    </w:p>
    <w:p w14:paraId="3E12F2E5">
      <w:pPr>
        <w:ind w:firstLine="420"/>
        <w:rPr>
          <w:rFonts w:ascii="宋体" w:hAnsi="宋体" w:cs="宋体"/>
          <w:color w:val="auto"/>
          <w:sz w:val="22"/>
          <w:szCs w:val="22"/>
          <w:highlight w:val="none"/>
        </w:rPr>
      </w:pPr>
      <w:r>
        <w:rPr>
          <w:rFonts w:hint="eastAsia" w:ascii="宋体" w:hAnsi="宋体" w:cs="宋体"/>
          <w:b/>
          <w:bCs/>
          <w:color w:val="auto"/>
          <w:sz w:val="22"/>
          <w:szCs w:val="22"/>
          <w:highlight w:val="none"/>
          <w:lang w:bidi="ar"/>
        </w:rPr>
        <w:t>采集速度：</w:t>
      </w:r>
      <w:r>
        <w:rPr>
          <w:rFonts w:hint="eastAsia" w:ascii="宋体" w:hAnsi="宋体" w:cs="宋体"/>
          <w:color w:val="auto"/>
          <w:sz w:val="22"/>
          <w:szCs w:val="22"/>
          <w:highlight w:val="none"/>
          <w:lang w:bidi="ar"/>
        </w:rPr>
        <w:t xml:space="preserve"> </w:t>
      </w:r>
      <w:r>
        <w:rPr>
          <w:rFonts w:ascii="宋体" w:hAnsi="宋体" w:cs="宋体"/>
          <w:color w:val="auto"/>
          <w:sz w:val="22"/>
          <w:szCs w:val="22"/>
          <w:highlight w:val="none"/>
          <w:lang w:bidi="ar"/>
        </w:rPr>
        <w:t>5-10</w:t>
      </w:r>
      <w:r>
        <w:rPr>
          <w:rFonts w:hint="eastAsia" w:ascii="宋体" w:hAnsi="宋体" w:cs="宋体"/>
          <w:color w:val="auto"/>
          <w:sz w:val="22"/>
          <w:szCs w:val="22"/>
          <w:highlight w:val="none"/>
          <w:lang w:bidi="ar"/>
        </w:rPr>
        <w:t>分钟进行重点账号采集，发现速度可达分钟级，7×24小时不间断采集。</w:t>
      </w:r>
    </w:p>
    <w:p w14:paraId="26FF3406">
      <w:pPr>
        <w:ind w:firstLine="420"/>
        <w:rPr>
          <w:rFonts w:ascii="宋体" w:hAnsi="宋体" w:cs="宋体"/>
          <w:color w:val="auto"/>
          <w:sz w:val="22"/>
          <w:szCs w:val="22"/>
          <w:highlight w:val="none"/>
          <w:lang w:bidi="ar"/>
        </w:rPr>
      </w:pPr>
      <w:r>
        <w:rPr>
          <w:rFonts w:hint="eastAsia" w:ascii="宋体" w:hAnsi="宋体" w:cs="宋体"/>
          <w:b/>
          <w:bCs/>
          <w:color w:val="auto"/>
          <w:sz w:val="22"/>
          <w:szCs w:val="22"/>
          <w:highlight w:val="none"/>
          <w:lang w:bidi="ar"/>
        </w:rPr>
        <w:t>OCR识别：</w:t>
      </w:r>
      <w:r>
        <w:rPr>
          <w:rFonts w:hint="eastAsia" w:ascii="宋体" w:hAnsi="宋体" w:cs="宋体"/>
          <w:color w:val="auto"/>
          <w:sz w:val="22"/>
          <w:szCs w:val="22"/>
          <w:highlight w:val="none"/>
          <w:lang w:bidi="ar"/>
        </w:rPr>
        <w:t>支持短视频OCR识别，如视频字幕、拍照资料、截图资料、街景文字、横幅等，识别准确率在95% 以上。</w:t>
      </w:r>
    </w:p>
    <w:p w14:paraId="41C31610">
      <w:pPr>
        <w:ind w:firstLine="420"/>
        <w:rPr>
          <w:rFonts w:ascii="宋体" w:hAnsi="宋体" w:cs="宋体"/>
          <w:color w:val="auto"/>
          <w:sz w:val="22"/>
          <w:szCs w:val="22"/>
          <w:highlight w:val="none"/>
        </w:rPr>
      </w:pPr>
      <w:r>
        <w:rPr>
          <w:rFonts w:hint="eastAsia" w:ascii="宋体" w:hAnsi="宋体" w:cs="宋体"/>
          <w:b/>
          <w:bCs/>
          <w:color w:val="auto"/>
          <w:sz w:val="22"/>
          <w:szCs w:val="22"/>
          <w:highlight w:val="none"/>
          <w:lang w:bidi="ar"/>
        </w:rPr>
        <w:t>监测预警：</w:t>
      </w:r>
      <w:r>
        <w:rPr>
          <w:rFonts w:hint="eastAsia" w:ascii="宋体" w:hAnsi="宋体" w:cs="宋体"/>
          <w:color w:val="auto"/>
          <w:sz w:val="22"/>
          <w:szCs w:val="22"/>
          <w:highlight w:val="none"/>
          <w:lang w:bidi="ar"/>
        </w:rPr>
        <w:t>提供全网主流平台短视频及评论的监测、预警、搜索、分析等服务。支持进行监测预警设置，监测方案中可选择指定媒体来源、信息属性和填写预警词等，支持将命中预警信息的内容推送</w:t>
      </w:r>
      <w:r>
        <w:rPr>
          <w:rFonts w:hint="eastAsia" w:ascii="宋体" w:hAnsi="宋体" w:cs="宋体"/>
          <w:color w:val="auto"/>
          <w:sz w:val="22"/>
          <w:szCs w:val="22"/>
          <w:highlight w:val="none"/>
        </w:rPr>
        <w:t>邮件、客户端、短信、pc弹窗和微信等接收方式</w:t>
      </w:r>
      <w:r>
        <w:rPr>
          <w:rFonts w:hint="eastAsia" w:ascii="宋体" w:hAnsi="宋体" w:cs="宋体"/>
          <w:color w:val="auto"/>
          <w:sz w:val="22"/>
          <w:szCs w:val="22"/>
          <w:highlight w:val="none"/>
          <w:lang w:bidi="ar"/>
        </w:rPr>
        <w:t>。</w:t>
      </w:r>
    </w:p>
    <w:p w14:paraId="74534474">
      <w:pPr>
        <w:ind w:firstLine="420"/>
        <w:rPr>
          <w:rFonts w:ascii="宋体" w:hAnsi="宋体" w:cs="宋体"/>
          <w:color w:val="auto"/>
          <w:sz w:val="22"/>
          <w:szCs w:val="22"/>
          <w:highlight w:val="none"/>
          <w:lang w:bidi="ar"/>
        </w:rPr>
      </w:pPr>
      <w:r>
        <w:rPr>
          <w:rFonts w:hint="eastAsia" w:ascii="宋体" w:hAnsi="宋体" w:cs="宋体"/>
          <w:b/>
          <w:bCs/>
          <w:color w:val="auto"/>
          <w:sz w:val="22"/>
          <w:szCs w:val="22"/>
          <w:highlight w:val="none"/>
          <w:lang w:bidi="ar"/>
        </w:rPr>
        <w:t>信息源定向监测：</w:t>
      </w:r>
      <w:r>
        <w:rPr>
          <w:rFonts w:hint="eastAsia" w:ascii="宋体" w:hAnsi="宋体" w:cs="宋体"/>
          <w:color w:val="auto"/>
          <w:sz w:val="22"/>
          <w:szCs w:val="22"/>
          <w:highlight w:val="none"/>
          <w:lang w:bidi="ar"/>
        </w:rPr>
        <w:t>根据业务需要，支持指定站点、作者、地域的定向监测。</w:t>
      </w:r>
    </w:p>
    <w:p w14:paraId="7C3509BF">
      <w:pPr>
        <w:ind w:firstLine="420"/>
        <w:rPr>
          <w:rFonts w:ascii="宋体" w:hAnsi="宋体" w:cs="宋体"/>
          <w:color w:val="auto"/>
          <w:sz w:val="22"/>
          <w:szCs w:val="22"/>
          <w:highlight w:val="none"/>
          <w:lang w:bidi="ar"/>
        </w:rPr>
      </w:pPr>
      <w:r>
        <w:rPr>
          <w:rFonts w:hint="eastAsia" w:ascii="宋体" w:hAnsi="宋体" w:cs="宋体"/>
          <w:b/>
          <w:bCs/>
          <w:color w:val="auto"/>
          <w:sz w:val="22"/>
          <w:szCs w:val="22"/>
          <w:highlight w:val="none"/>
          <w:lang w:bidi="ar"/>
        </w:rPr>
        <w:t>抽帧能力：除抖音支持全帧监测外，其他平台</w:t>
      </w:r>
      <w:r>
        <w:rPr>
          <w:rFonts w:hint="eastAsia" w:ascii="宋体" w:hAnsi="宋体" w:cs="宋体"/>
          <w:color w:val="auto"/>
          <w:sz w:val="22"/>
          <w:szCs w:val="22"/>
          <w:highlight w:val="none"/>
          <w:lang w:bidi="ar"/>
        </w:rPr>
        <w:t>实现了视频内容的抽帧、识别，对采集到所有短视频进行封面加前5</w:t>
      </w:r>
      <w:r>
        <w:rPr>
          <w:rFonts w:ascii="宋体" w:hAnsi="宋体" w:cs="宋体"/>
          <w:color w:val="auto"/>
          <w:sz w:val="22"/>
          <w:szCs w:val="22"/>
          <w:highlight w:val="none"/>
          <w:lang w:bidi="ar"/>
        </w:rPr>
        <w:t>-30</w:t>
      </w:r>
      <w:r>
        <w:rPr>
          <w:rFonts w:hint="eastAsia" w:ascii="宋体" w:hAnsi="宋体" w:cs="宋体"/>
          <w:color w:val="auto"/>
          <w:sz w:val="22"/>
          <w:szCs w:val="22"/>
          <w:highlight w:val="none"/>
          <w:lang w:bidi="ar"/>
        </w:rPr>
        <w:t>秒的抽帧。</w:t>
      </w:r>
    </w:p>
    <w:p w14:paraId="5C7432FC">
      <w:pPr>
        <w:pStyle w:val="4"/>
        <w:numPr>
          <w:ilvl w:val="1"/>
          <w:numId w:val="0"/>
        </w:numPr>
        <w:ind w:left="567" w:leftChars="0" w:hanging="283" w:firstLineChars="0"/>
        <w:rPr>
          <w:rFonts w:ascii="宋体" w:hAnsi="宋体" w:eastAsia="宋体" w:cs="宋体"/>
          <w:color w:val="auto"/>
          <w:sz w:val="22"/>
          <w:szCs w:val="22"/>
          <w:highlight w:val="none"/>
        </w:rPr>
      </w:pPr>
      <w:bookmarkStart w:id="8" w:name="_Toc138761320"/>
      <w:r>
        <w:rPr>
          <w:rFonts w:hint="eastAsia" w:ascii="宋体" w:hAnsi="宋体" w:eastAsia="宋体" w:cs="宋体"/>
          <w:b/>
          <w:bCs/>
          <w:color w:val="auto"/>
          <w:kern w:val="2"/>
          <w:sz w:val="22"/>
          <w:szCs w:val="22"/>
          <w:highlight w:val="none"/>
          <w:lang w:val="en-US" w:eastAsia="zh-CN" w:bidi="ar-SA"/>
        </w:rPr>
        <w:t>1.10</w:t>
      </w:r>
      <w:bookmarkEnd w:id="8"/>
      <w:r>
        <w:rPr>
          <w:rFonts w:hint="eastAsia" w:ascii="宋体" w:hAnsi="宋体" w:eastAsia="宋体" w:cs="宋体"/>
          <w:color w:val="auto"/>
          <w:sz w:val="22"/>
          <w:szCs w:val="22"/>
          <w:highlight w:val="none"/>
        </w:rPr>
        <w:t>客户网站巡查</w:t>
      </w:r>
    </w:p>
    <w:p w14:paraId="6F54F043">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实现7*24小时系统自动排查客户重点网站和公众号文章，人工再校对，补充全网关键词检索，以弥补系统误判错判可能。</w:t>
      </w:r>
    </w:p>
    <w:p w14:paraId="4211077A">
      <w:pPr>
        <w:pStyle w:val="4"/>
        <w:numPr>
          <w:ilvl w:val="2"/>
          <w:numId w:val="0"/>
        </w:numPr>
        <w:ind w:left="720" w:leftChars="0" w:hanging="294" w:firstLineChars="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1.10.1内容审核</w:t>
      </w:r>
    </w:p>
    <w:p w14:paraId="557BB738">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识别属地信源发布稿件中的涉政治类不规范表述、涉黄、涉毒、涉历史虚无有害信息等。对属地内发文信息进行实时错误巡查。</w:t>
      </w:r>
    </w:p>
    <w:p w14:paraId="009E3034">
      <w:pPr>
        <w:pStyle w:val="4"/>
        <w:numPr>
          <w:ilvl w:val="2"/>
          <w:numId w:val="0"/>
        </w:numPr>
        <w:ind w:left="720" w:leftChars="0" w:hanging="294" w:firstLineChars="0"/>
        <w:rPr>
          <w:rFonts w:hint="eastAsia" w:ascii="宋体" w:hAnsi="宋体" w:eastAsia="宋体" w:cs="宋体"/>
          <w:b/>
          <w:bCs/>
          <w:color w:val="auto"/>
          <w:kern w:val="2"/>
          <w:sz w:val="22"/>
          <w:szCs w:val="22"/>
          <w:highlight w:val="none"/>
          <w:lang w:val="en-US" w:eastAsia="zh-CN" w:bidi="ar-SA"/>
        </w:rPr>
      </w:pPr>
      <w:r>
        <w:rPr>
          <w:rFonts w:hint="eastAsia" w:ascii="宋体" w:hAnsi="宋体" w:eastAsia="宋体" w:cs="宋体"/>
          <w:b/>
          <w:bCs/>
          <w:color w:val="auto"/>
          <w:kern w:val="2"/>
          <w:sz w:val="22"/>
          <w:szCs w:val="22"/>
          <w:highlight w:val="none"/>
          <w:lang w:val="en-US" w:eastAsia="zh-CN" w:bidi="ar-SA"/>
        </w:rPr>
        <w:t>1.10.2稿前审核</w:t>
      </w:r>
    </w:p>
    <w:p w14:paraId="2868858D">
      <w:pPr>
        <w:ind w:firstLine="480" w:firstLineChars="200"/>
        <w:rPr>
          <w:rFonts w:hint="eastAsia"/>
          <w:color w:val="auto"/>
          <w:highlight w:val="none"/>
          <w:lang w:val="en-US" w:eastAsia="zh-CN"/>
        </w:rPr>
      </w:pPr>
      <w:r>
        <w:rPr>
          <w:rFonts w:hint="eastAsia" w:ascii="Times New Roman" w:hAnsi="Times New Roman" w:eastAsia="宋体" w:cs="Times New Roman"/>
          <w:color w:val="auto"/>
          <w:kern w:val="2"/>
          <w:sz w:val="24"/>
          <w:szCs w:val="32"/>
          <w:highlight w:val="none"/>
          <w:lang w:val="en-US" w:eastAsia="zh-CN" w:bidi="zh-TW"/>
        </w:rPr>
        <w:fldChar w:fldCharType="begin"/>
      </w:r>
      <w:r>
        <w:rPr>
          <w:rFonts w:hint="eastAsia" w:ascii="Times New Roman" w:hAnsi="Times New Roman" w:eastAsia="宋体" w:cs="Times New Roman"/>
          <w:color w:val="auto"/>
          <w:kern w:val="2"/>
          <w:sz w:val="24"/>
          <w:szCs w:val="32"/>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4"/>
          <w:szCs w:val="32"/>
          <w:highlight w:val="none"/>
          <w:lang w:val="en-US" w:eastAsia="zh-CN" w:bidi="zh-TW"/>
        </w:rPr>
        <w:fldChar w:fldCharType="separate"/>
      </w:r>
      <w:r>
        <w:rPr>
          <w:rFonts w:hint="eastAsia" w:ascii="Times New Roman" w:hAnsi="Times New Roman" w:eastAsia="宋体" w:cs="Times New Roman"/>
          <w:color w:val="auto"/>
          <w:kern w:val="2"/>
          <w:sz w:val="24"/>
          <w:szCs w:val="32"/>
          <w:highlight w:val="none"/>
          <w:lang w:val="en-US" w:eastAsia="zh-CN" w:bidi="zh-TW"/>
        </w:rPr>
        <w:t>★</w:t>
      </w:r>
      <w:r>
        <w:rPr>
          <w:rFonts w:hint="eastAsia" w:ascii="Times New Roman" w:hAnsi="Times New Roman" w:eastAsia="宋体" w:cs="Times New Roman"/>
          <w:color w:val="auto"/>
          <w:kern w:val="2"/>
          <w:sz w:val="24"/>
          <w:szCs w:val="32"/>
          <w:highlight w:val="none"/>
          <w:lang w:val="en-US" w:eastAsia="zh-CN" w:bidi="zh-TW"/>
        </w:rPr>
        <w:fldChar w:fldCharType="end"/>
      </w:r>
      <w:r>
        <w:rPr>
          <w:rFonts w:hint="eastAsia" w:ascii="宋体" w:hAnsi="宋体" w:cs="宋体"/>
          <w:color w:val="auto"/>
          <w:sz w:val="22"/>
          <w:szCs w:val="22"/>
          <w:highlight w:val="none"/>
        </w:rPr>
        <w:t>校对类型（支持三大审核与校对类型，34类全栈智能校对能力）：文字标点差错校对（15类）：错别字、词｜多字错误｜少字错误｜语义重复｜语序错误｜句式杂糅｜标点符号差错｜量词和单位差错｜数字差错｜序号检查 | 句子查重｜英文校对|大段内容查重|空格检查|格式检查；知识性差错校对（13类）：重要讲话引用｜姓名和职务信息｜地理名词｜机构名称｜专有名词及术语｜法律法规名称｜常识差错｜时政重点词｜媒体报道禁用词和慎用词|党内法规|译名检查|法律法规引用|一致性检查；内容导向风险识别（6类）：涉国家统一、主权和领土完整｜涉民族宗教｜涉黄、暴、恐、赌、毒｜涉低俗辱骂｜涉违法违规（如广告违禁）｜其他敏感内容</w:t>
      </w:r>
    </w:p>
    <w:p w14:paraId="2A6AE282">
      <w:pPr>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除实时巡查外支持在发稿前通过上传文档或者在线输入文本2种方式进行错敏信息检测。可检测的错误类型包括领导人职称及姓名、方针法规、会议精神、党史党建、其他敏感、错别字及自定义词库6类；自定义词库中支持客户自定义错敏词及排除词。</w:t>
      </w:r>
    </w:p>
    <w:p w14:paraId="37102F4D">
      <w:pPr>
        <w:ind w:firstLine="422" w:firstLineChars="200"/>
        <w:rPr>
          <w:rFonts w:hint="eastAsia" w:ascii="仿宋" w:hAnsi="仿宋"/>
          <w:b/>
          <w:color w:val="auto"/>
          <w:highlight w:val="none"/>
        </w:rPr>
      </w:pPr>
    </w:p>
    <w:p w14:paraId="0364AA53">
      <w:pPr>
        <w:ind w:firstLine="422" w:firstLineChars="200"/>
        <w:rPr>
          <w:rFonts w:ascii="仿宋" w:hAnsi="仿宋"/>
          <w:b/>
          <w:color w:val="auto"/>
          <w:highlight w:val="none"/>
        </w:rPr>
      </w:pPr>
      <w:r>
        <w:rPr>
          <w:rFonts w:hint="eastAsia" w:ascii="仿宋" w:hAnsi="仿宋"/>
          <w:b/>
          <w:color w:val="auto"/>
          <w:highlight w:val="none"/>
        </w:rPr>
        <w:t>三、</w:t>
      </w:r>
      <w:r>
        <w:rPr>
          <w:rFonts w:ascii="仿宋" w:hAnsi="仿宋"/>
          <w:b/>
          <w:color w:val="auto"/>
          <w:highlight w:val="none"/>
        </w:rPr>
        <w:t>商务要求：</w:t>
      </w:r>
    </w:p>
    <w:tbl>
      <w:tblPr>
        <w:tblStyle w:val="20"/>
        <w:tblW w:w="9199" w:type="dxa"/>
        <w:tblInd w:w="4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6956"/>
      </w:tblGrid>
      <w:tr w14:paraId="02D4FF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43" w:type="dxa"/>
            <w:tcBorders>
              <w:top w:val="single" w:color="auto" w:sz="4" w:space="0"/>
              <w:left w:val="single" w:color="auto" w:sz="4" w:space="0"/>
              <w:bottom w:val="single" w:color="auto" w:sz="4" w:space="0"/>
              <w:right w:val="single" w:color="auto" w:sz="4" w:space="0"/>
            </w:tcBorders>
            <w:vAlign w:val="center"/>
          </w:tcPr>
          <w:p w14:paraId="5451D8BE">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服务期</w:t>
            </w:r>
          </w:p>
        </w:tc>
        <w:tc>
          <w:tcPr>
            <w:tcW w:w="6956" w:type="dxa"/>
            <w:tcBorders>
              <w:top w:val="single" w:color="auto" w:sz="4" w:space="0"/>
              <w:left w:val="single" w:color="auto" w:sz="4" w:space="0"/>
              <w:bottom w:val="single" w:color="auto" w:sz="4" w:space="0"/>
              <w:right w:val="single" w:color="auto" w:sz="4" w:space="0"/>
            </w:tcBorders>
            <w:vAlign w:val="center"/>
          </w:tcPr>
          <w:p w14:paraId="13A8F8F0">
            <w:pPr>
              <w:snapToGrid w:val="0"/>
              <w:spacing w:line="360" w:lineRule="auto"/>
              <w:rPr>
                <w:rFonts w:ascii="宋体" w:hAnsi="宋体"/>
                <w:color w:val="auto"/>
                <w:sz w:val="21"/>
                <w:szCs w:val="21"/>
                <w:highlight w:val="none"/>
              </w:rPr>
            </w:pPr>
            <w:bookmarkStart w:id="9" w:name="OLE_LINK3"/>
            <w:r>
              <w:rPr>
                <w:rFonts w:hint="eastAsia" w:ascii="宋体" w:hAnsi="宋体"/>
                <w:color w:val="auto"/>
                <w:sz w:val="21"/>
                <w:szCs w:val="21"/>
                <w:highlight w:val="none"/>
              </w:rPr>
              <w:t>▲</w:t>
            </w:r>
            <w:bookmarkEnd w:id="9"/>
            <w:r>
              <w:rPr>
                <w:rFonts w:hint="eastAsia" w:ascii="宋体" w:hAnsi="宋体"/>
                <w:color w:val="auto"/>
                <w:sz w:val="21"/>
                <w:szCs w:val="21"/>
                <w:highlight w:val="none"/>
              </w:rPr>
              <w:t>1年</w:t>
            </w:r>
          </w:p>
        </w:tc>
      </w:tr>
      <w:tr w14:paraId="5E6B17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2243" w:type="dxa"/>
            <w:tcBorders>
              <w:top w:val="single" w:color="auto" w:sz="4" w:space="0"/>
              <w:left w:val="single" w:color="auto" w:sz="4" w:space="0"/>
              <w:bottom w:val="single" w:color="auto" w:sz="4" w:space="0"/>
              <w:right w:val="single" w:color="auto" w:sz="4" w:space="0"/>
            </w:tcBorders>
            <w:vAlign w:val="center"/>
          </w:tcPr>
          <w:p w14:paraId="0C9DAD64">
            <w:pPr>
              <w:snapToGrid w:val="0"/>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工期要求</w:t>
            </w:r>
          </w:p>
        </w:tc>
        <w:tc>
          <w:tcPr>
            <w:tcW w:w="6956" w:type="dxa"/>
            <w:tcBorders>
              <w:top w:val="single" w:color="auto" w:sz="4" w:space="0"/>
              <w:left w:val="single" w:color="auto" w:sz="4" w:space="0"/>
              <w:bottom w:val="single" w:color="auto" w:sz="4" w:space="0"/>
              <w:right w:val="single" w:color="auto" w:sz="4" w:space="0"/>
            </w:tcBorders>
            <w:vAlign w:val="center"/>
          </w:tcPr>
          <w:p w14:paraId="35BFE48A">
            <w:pPr>
              <w:snapToGrid w:val="0"/>
              <w:spacing w:line="360" w:lineRule="auto"/>
              <w:jc w:val="both"/>
              <w:rPr>
                <w:rFonts w:hint="eastAsia" w:ascii="宋体" w:hAnsi="宋体"/>
                <w:color w:val="auto"/>
                <w:sz w:val="21"/>
                <w:szCs w:val="21"/>
                <w:highlight w:val="none"/>
              </w:rPr>
            </w:pPr>
            <w:r>
              <w:rPr>
                <w:rFonts w:hint="eastAsia" w:ascii="宋体" w:hAnsi="宋体"/>
                <w:color w:val="auto"/>
                <w:sz w:val="21"/>
                <w:szCs w:val="21"/>
                <w:highlight w:val="none"/>
              </w:rPr>
              <w:t>▲合同签订后一个月内完成项目上线。</w:t>
            </w:r>
          </w:p>
        </w:tc>
      </w:tr>
      <w:tr w14:paraId="71911C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243" w:type="dxa"/>
            <w:tcBorders>
              <w:top w:val="single" w:color="auto" w:sz="4" w:space="0"/>
              <w:left w:val="single" w:color="auto" w:sz="4" w:space="0"/>
              <w:bottom w:val="single" w:color="auto" w:sz="4" w:space="0"/>
              <w:right w:val="single" w:color="auto" w:sz="4" w:space="0"/>
            </w:tcBorders>
            <w:vAlign w:val="center"/>
          </w:tcPr>
          <w:p w14:paraId="7F1155EE">
            <w:pPr>
              <w:snapToGrid w:val="0"/>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售后技术服务要求</w:t>
            </w:r>
          </w:p>
        </w:tc>
        <w:tc>
          <w:tcPr>
            <w:tcW w:w="6956" w:type="dxa"/>
            <w:tcBorders>
              <w:top w:val="single" w:color="auto" w:sz="4" w:space="0"/>
              <w:left w:val="single" w:color="auto" w:sz="4" w:space="0"/>
              <w:bottom w:val="single" w:color="auto" w:sz="4" w:space="0"/>
              <w:right w:val="single" w:color="auto" w:sz="4" w:space="0"/>
            </w:tcBorders>
          </w:tcPr>
          <w:p w14:paraId="5F826D4D">
            <w:pPr>
              <w:spacing w:line="360" w:lineRule="auto"/>
              <w:rPr>
                <w:color w:val="auto"/>
                <w:sz w:val="18"/>
                <w:szCs w:val="21"/>
                <w:highlight w:val="none"/>
              </w:rPr>
            </w:pPr>
            <w:r>
              <w:rPr>
                <w:rFonts w:hint="eastAsia"/>
                <w:color w:val="auto"/>
                <w:sz w:val="21"/>
                <w:szCs w:val="21"/>
                <w:highlight w:val="none"/>
              </w:rPr>
              <w:t>▲</w:t>
            </w:r>
            <w:r>
              <w:rPr>
                <w:rFonts w:hint="eastAsia" w:ascii="宋体" w:hAnsi="宋体"/>
                <w:color w:val="auto"/>
                <w:sz w:val="21"/>
                <w:szCs w:val="21"/>
                <w:highlight w:val="none"/>
              </w:rPr>
              <w:t>远程技术支持：供应商应具有稳定的技术支持队伍和完善的服务支持网络，提供 7×24小时技术支持服务，及时响应采购人的技术服务支持需求。</w:t>
            </w:r>
          </w:p>
        </w:tc>
      </w:tr>
    </w:tbl>
    <w:p w14:paraId="7D056F25">
      <w:pPr>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注：打▲的为实质性条款，未响应作废标处理。</w:t>
      </w:r>
    </w:p>
    <w:p w14:paraId="23F3550A">
      <w:pPr>
        <w:spacing w:line="360" w:lineRule="auto"/>
        <w:jc w:val="left"/>
        <w:rPr>
          <w:rFonts w:ascii="仿宋" w:hAnsi="仿宋" w:eastAsia="仿宋"/>
          <w:color w:val="auto"/>
          <w:sz w:val="24"/>
          <w:highlight w:val="none"/>
        </w:rPr>
      </w:pPr>
    </w:p>
    <w:p w14:paraId="5BF0064B">
      <w:pPr>
        <w:spacing w:line="360" w:lineRule="auto"/>
        <w:jc w:val="left"/>
        <w:rPr>
          <w:rFonts w:ascii="仿宋" w:hAnsi="仿宋" w:eastAsia="仿宋"/>
          <w:color w:val="auto"/>
          <w:sz w:val="24"/>
          <w:highlight w:val="none"/>
        </w:rPr>
      </w:pPr>
    </w:p>
    <w:p w14:paraId="362A653B">
      <w:pPr>
        <w:rPr>
          <w:rFonts w:hint="eastAsia" w:ascii="宋体" w:hAnsi="宋体" w:cs="宋体"/>
          <w:bCs/>
          <w:color w:val="auto"/>
          <w:sz w:val="28"/>
          <w:szCs w:val="28"/>
          <w:highlight w:val="none"/>
        </w:rPr>
      </w:pPr>
      <w:r>
        <w:rPr>
          <w:rFonts w:hint="eastAsia" w:ascii="宋体" w:hAnsi="宋体" w:cs="宋体"/>
          <w:bCs/>
          <w:color w:val="auto"/>
          <w:sz w:val="28"/>
          <w:szCs w:val="28"/>
          <w:highlight w:val="none"/>
        </w:rPr>
        <w:br w:type="page"/>
      </w:r>
    </w:p>
    <w:p w14:paraId="52A911BB">
      <w:pPr>
        <w:spacing w:line="360" w:lineRule="auto"/>
        <w:jc w:val="left"/>
        <w:rPr>
          <w:rFonts w:ascii="宋体" w:hAnsi="宋体" w:cs="宋体"/>
          <w:bCs/>
          <w:color w:val="auto"/>
          <w:sz w:val="28"/>
          <w:szCs w:val="28"/>
          <w:highlight w:val="none"/>
        </w:rPr>
      </w:pPr>
      <w:r>
        <w:rPr>
          <w:rFonts w:hint="eastAsia" w:ascii="宋体" w:hAnsi="宋体" w:cs="宋体"/>
          <w:bCs/>
          <w:color w:val="auto"/>
          <w:sz w:val="28"/>
          <w:szCs w:val="28"/>
          <w:highlight w:val="none"/>
        </w:rPr>
        <w:t>附件1：</w:t>
      </w:r>
    </w:p>
    <w:p w14:paraId="25C7DDE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评标办法及评分标准</w:t>
      </w:r>
    </w:p>
    <w:p w14:paraId="3B11D327">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为公正、公平、科学地选择中标人，根据《中华人民共和国政府采购法》等有关法律法规的规定，并结合本项目的实际，制定本办法。</w:t>
      </w:r>
    </w:p>
    <w:p w14:paraId="40EDE9AC">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本办法适用</w:t>
      </w:r>
      <w:r>
        <w:rPr>
          <w:rFonts w:hint="eastAsia" w:ascii="仿宋_GB2312" w:hAnsi="Times New Roman" w:eastAsia="仿宋_GB2312" w:cs="Times New Roman"/>
          <w:color w:val="auto"/>
          <w:sz w:val="24"/>
          <w:highlight w:val="none"/>
        </w:rPr>
        <w:t>于湖州学院宣传部舆情系统服务采购项目的</w:t>
      </w:r>
      <w:r>
        <w:rPr>
          <w:rFonts w:hint="eastAsia" w:ascii="仿宋_GB2312" w:eastAsia="仿宋_GB2312"/>
          <w:color w:val="auto"/>
          <w:sz w:val="24"/>
          <w:highlight w:val="none"/>
        </w:rPr>
        <w:t>评标。</w:t>
      </w:r>
    </w:p>
    <w:p w14:paraId="0619E4EB">
      <w:pPr>
        <w:spacing w:line="360" w:lineRule="auto"/>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一、总则</w:t>
      </w:r>
    </w:p>
    <w:p w14:paraId="38840FF0">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本次评标采用综合评分法，合格投标人的评标得分为各项目汇总得分，按评标得分由高到低顺序排列，得分相同的，按投标报价由低到高顺序排列；得分且投标报价相同的，按技术性能指标得分由高到低顺序排列。本项目由采购人授权评标委员会直接确定排名第一的投标人为中标人。评分过程中采用四舍五入法，并保留小数2位。</w:t>
      </w:r>
    </w:p>
    <w:p w14:paraId="6812CE31">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投标人评标综合得分=价格分+技术、商务、资信及其他部分得分</w:t>
      </w:r>
    </w:p>
    <w:p w14:paraId="207E91BE">
      <w:pPr>
        <w:spacing w:line="360" w:lineRule="auto"/>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二、评标内容及标准</w:t>
      </w:r>
    </w:p>
    <w:p w14:paraId="05D05FDB">
      <w:pPr>
        <w:spacing w:line="360" w:lineRule="auto"/>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1、价格分（10分）</w:t>
      </w:r>
    </w:p>
    <w:p w14:paraId="4779E093">
      <w:pPr>
        <w:ind w:firstLine="480"/>
        <w:rPr>
          <w:rFonts w:ascii="仿宋_GB2312" w:eastAsia="仿宋_GB2312"/>
          <w:color w:val="auto"/>
          <w:sz w:val="24"/>
          <w:highlight w:val="none"/>
        </w:rPr>
      </w:pPr>
      <w:r>
        <w:rPr>
          <w:rFonts w:hint="eastAsia" w:ascii="仿宋_GB2312" w:eastAsia="仿宋_GB2312"/>
          <w:color w:val="auto"/>
          <w:sz w:val="24"/>
          <w:highlight w:val="none"/>
        </w:rPr>
        <w:t>价格分采用低价优先法计算，取所有有效投标人中投标价格最低的投标报价为评标基准价，其他投标人的价格分按照下列公式计算：</w:t>
      </w:r>
    </w:p>
    <w:p w14:paraId="47F2763E">
      <w:pPr>
        <w:ind w:firstLine="480"/>
        <w:rPr>
          <w:rFonts w:ascii="仿宋_GB2312" w:eastAsia="仿宋_GB2312"/>
          <w:color w:val="auto"/>
          <w:sz w:val="24"/>
          <w:highlight w:val="none"/>
        </w:rPr>
      </w:pPr>
      <w:r>
        <w:rPr>
          <w:rFonts w:hint="eastAsia" w:ascii="仿宋_GB2312" w:eastAsia="仿宋_GB2312"/>
          <w:color w:val="auto"/>
          <w:sz w:val="24"/>
          <w:highlight w:val="none"/>
        </w:rPr>
        <w:t>价格分=（评标基准价/投标报价）×10×100%</w:t>
      </w:r>
    </w:p>
    <w:p w14:paraId="01ACF72E">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78E3DA01">
      <w:pPr>
        <w:spacing w:line="360" w:lineRule="auto"/>
        <w:ind w:firstLine="472" w:firstLineChars="196"/>
        <w:rPr>
          <w:rFonts w:ascii="仿宋_GB2312" w:eastAsia="仿宋_GB2312"/>
          <w:b/>
          <w:bCs/>
          <w:color w:val="auto"/>
          <w:sz w:val="24"/>
          <w:highlight w:val="none"/>
        </w:rPr>
      </w:pPr>
      <w:r>
        <w:rPr>
          <w:rFonts w:hint="eastAsia" w:ascii="仿宋_GB2312" w:eastAsia="仿宋_GB2312"/>
          <w:b/>
          <w:bCs/>
          <w:color w:val="auto"/>
          <w:sz w:val="24"/>
          <w:highlight w:val="none"/>
        </w:rPr>
        <w:t>2、技术、商务分、资信及其他分（90分）</w:t>
      </w:r>
    </w:p>
    <w:p w14:paraId="27932C3E">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技术、商务、资信及其他分按照评标委员会成员的独立评分结果汇总数的算术平均分计算，计算公式为:</w:t>
      </w:r>
    </w:p>
    <w:p w14:paraId="34169EAB">
      <w:pPr>
        <w:spacing w:line="360" w:lineRule="auto"/>
        <w:ind w:firstLine="470" w:firstLineChars="196"/>
        <w:rPr>
          <w:rFonts w:ascii="仿宋_GB2312" w:eastAsia="仿宋_GB2312"/>
          <w:color w:val="auto"/>
          <w:sz w:val="24"/>
          <w:highlight w:val="none"/>
        </w:rPr>
      </w:pPr>
      <w:r>
        <w:rPr>
          <w:rFonts w:hint="eastAsia" w:ascii="仿宋_GB2312" w:eastAsia="仿宋_GB2312"/>
          <w:color w:val="auto"/>
          <w:sz w:val="24"/>
          <w:highlight w:val="none"/>
        </w:rPr>
        <w:t>技术、商务、资信及其他分=评标委员会所有成员评分合计数/评标委员会组成人员数</w:t>
      </w:r>
    </w:p>
    <w:p w14:paraId="7862597B">
      <w:pPr>
        <w:spacing w:line="360" w:lineRule="auto"/>
        <w:ind w:firstLine="470" w:firstLineChars="196"/>
        <w:rPr>
          <w:rFonts w:ascii="仿宋_GB2312" w:eastAsia="仿宋_GB2312"/>
          <w:color w:val="auto"/>
          <w:sz w:val="24"/>
          <w:highlight w:val="none"/>
        </w:rPr>
        <w:sectPr>
          <w:pgSz w:w="11906" w:h="16838"/>
          <w:pgMar w:top="1134" w:right="1531" w:bottom="992" w:left="1531" w:header="851" w:footer="964" w:gutter="0"/>
          <w:cols w:space="720" w:num="1"/>
          <w:docGrid w:type="lines" w:linePitch="312" w:charSpace="0"/>
        </w:sectPr>
      </w:pPr>
    </w:p>
    <w:p w14:paraId="1DB0D207">
      <w:pPr>
        <w:spacing w:line="360" w:lineRule="auto"/>
        <w:rPr>
          <w:rFonts w:ascii="仿宋_GB2312" w:eastAsia="仿宋_GB2312"/>
          <w:color w:val="auto"/>
          <w:sz w:val="24"/>
          <w:highlight w:val="none"/>
        </w:rPr>
      </w:pPr>
      <w:r>
        <w:rPr>
          <w:rFonts w:hint="eastAsia" w:ascii="仿宋_GB2312" w:eastAsia="仿宋_GB2312"/>
          <w:color w:val="auto"/>
          <w:sz w:val="24"/>
          <w:highlight w:val="none"/>
        </w:rPr>
        <w:t>评分表格式（技术、商务、资信及其他分，共90分）</w:t>
      </w:r>
    </w:p>
    <w:tbl>
      <w:tblPr>
        <w:tblStyle w:val="20"/>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1027"/>
        <w:gridCol w:w="14"/>
        <w:gridCol w:w="6448"/>
        <w:gridCol w:w="1009"/>
      </w:tblGrid>
      <w:tr w14:paraId="37D14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9" w:hRule="atLeast"/>
          <w:jc w:val="center"/>
        </w:trPr>
        <w:tc>
          <w:tcPr>
            <w:tcW w:w="788" w:type="dxa"/>
            <w:tcBorders>
              <w:top w:val="single" w:color="auto" w:sz="4" w:space="0"/>
              <w:bottom w:val="single" w:color="auto" w:sz="4" w:space="0"/>
              <w:right w:val="single" w:color="auto" w:sz="4" w:space="0"/>
            </w:tcBorders>
            <w:vAlign w:val="center"/>
          </w:tcPr>
          <w:p w14:paraId="79C7C525">
            <w:pPr>
              <w:pStyle w:val="15"/>
              <w:spacing w:line="360" w:lineRule="auto"/>
              <w:ind w:left="0" w:leftChars="0"/>
              <w:jc w:val="center"/>
              <w:rPr>
                <w:rFonts w:ascii="仿宋" w:hAnsi="仿宋" w:cs="仿宋"/>
                <w:b/>
                <w:bCs/>
                <w:color w:val="auto"/>
                <w:sz w:val="24"/>
                <w:szCs w:val="24"/>
                <w:highlight w:val="none"/>
              </w:rPr>
            </w:pPr>
            <w:r>
              <w:rPr>
                <w:rFonts w:hint="eastAsia" w:ascii="仿宋" w:hAnsi="仿宋" w:cs="仿宋"/>
                <w:b/>
                <w:bCs/>
                <w:color w:val="auto"/>
                <w:sz w:val="24"/>
                <w:szCs w:val="24"/>
                <w:highlight w:val="none"/>
              </w:rPr>
              <w:t>序号</w:t>
            </w:r>
          </w:p>
        </w:tc>
        <w:tc>
          <w:tcPr>
            <w:tcW w:w="1027" w:type="dxa"/>
            <w:tcBorders>
              <w:top w:val="single" w:color="auto" w:sz="4" w:space="0"/>
              <w:left w:val="single" w:color="auto" w:sz="4" w:space="0"/>
              <w:bottom w:val="single" w:color="auto" w:sz="4" w:space="0"/>
              <w:right w:val="single" w:color="auto" w:sz="4" w:space="0"/>
            </w:tcBorders>
            <w:vAlign w:val="center"/>
          </w:tcPr>
          <w:p w14:paraId="38038C28">
            <w:pPr>
              <w:pStyle w:val="15"/>
              <w:spacing w:line="360" w:lineRule="auto"/>
              <w:ind w:left="0" w:leftChars="0"/>
              <w:jc w:val="center"/>
              <w:rPr>
                <w:rFonts w:ascii="仿宋" w:hAnsi="仿宋" w:cs="仿宋"/>
                <w:b/>
                <w:bCs/>
                <w:color w:val="auto"/>
                <w:sz w:val="24"/>
                <w:szCs w:val="24"/>
                <w:highlight w:val="none"/>
              </w:rPr>
            </w:pPr>
            <w:r>
              <w:rPr>
                <w:rFonts w:hint="eastAsia" w:ascii="仿宋" w:hAnsi="仿宋" w:cs="仿宋"/>
                <w:b/>
                <w:bCs/>
                <w:color w:val="auto"/>
                <w:sz w:val="24"/>
                <w:szCs w:val="24"/>
                <w:highlight w:val="none"/>
              </w:rPr>
              <w:t>评审</w:t>
            </w:r>
          </w:p>
          <w:p w14:paraId="24947C83">
            <w:pPr>
              <w:pStyle w:val="15"/>
              <w:spacing w:line="360" w:lineRule="auto"/>
              <w:ind w:left="0" w:leftChars="0"/>
              <w:jc w:val="center"/>
              <w:rPr>
                <w:rFonts w:ascii="仿宋" w:hAnsi="仿宋" w:cs="仿宋"/>
                <w:b/>
                <w:bCs/>
                <w:color w:val="auto"/>
                <w:sz w:val="24"/>
                <w:szCs w:val="24"/>
                <w:highlight w:val="none"/>
              </w:rPr>
            </w:pPr>
            <w:r>
              <w:rPr>
                <w:rFonts w:hint="eastAsia" w:ascii="仿宋" w:hAnsi="仿宋" w:cs="仿宋"/>
                <w:b/>
                <w:bCs/>
                <w:color w:val="auto"/>
                <w:sz w:val="24"/>
                <w:szCs w:val="24"/>
                <w:highlight w:val="none"/>
              </w:rPr>
              <w:t>内容</w:t>
            </w:r>
          </w:p>
        </w:tc>
        <w:tc>
          <w:tcPr>
            <w:tcW w:w="6462" w:type="dxa"/>
            <w:gridSpan w:val="2"/>
            <w:tcBorders>
              <w:top w:val="single" w:color="auto" w:sz="4" w:space="0"/>
              <w:left w:val="single" w:color="auto" w:sz="4" w:space="0"/>
              <w:bottom w:val="single" w:color="auto" w:sz="4" w:space="0"/>
              <w:right w:val="single" w:color="auto" w:sz="4" w:space="0"/>
            </w:tcBorders>
            <w:vAlign w:val="center"/>
          </w:tcPr>
          <w:p w14:paraId="57818AFA">
            <w:pPr>
              <w:pStyle w:val="15"/>
              <w:spacing w:line="360" w:lineRule="auto"/>
              <w:ind w:left="0" w:leftChars="0"/>
              <w:jc w:val="center"/>
              <w:rPr>
                <w:rFonts w:ascii="仿宋" w:hAnsi="仿宋" w:cs="仿宋"/>
                <w:b/>
                <w:bCs/>
                <w:color w:val="auto"/>
                <w:sz w:val="24"/>
                <w:szCs w:val="24"/>
                <w:highlight w:val="none"/>
              </w:rPr>
            </w:pPr>
            <w:r>
              <w:rPr>
                <w:rFonts w:hint="eastAsia" w:ascii="仿宋" w:hAnsi="仿宋" w:cs="仿宋"/>
                <w:b/>
                <w:bCs/>
                <w:color w:val="auto"/>
                <w:sz w:val="24"/>
                <w:szCs w:val="24"/>
                <w:highlight w:val="none"/>
              </w:rPr>
              <w:t>评分标准</w:t>
            </w:r>
          </w:p>
        </w:tc>
        <w:tc>
          <w:tcPr>
            <w:tcW w:w="1009" w:type="dxa"/>
            <w:tcBorders>
              <w:top w:val="single" w:color="auto" w:sz="4" w:space="0"/>
              <w:left w:val="single" w:color="auto" w:sz="4" w:space="0"/>
              <w:bottom w:val="single" w:color="auto" w:sz="4" w:space="0"/>
            </w:tcBorders>
            <w:vAlign w:val="center"/>
          </w:tcPr>
          <w:p w14:paraId="0A42903E">
            <w:pPr>
              <w:pStyle w:val="15"/>
              <w:spacing w:line="360" w:lineRule="auto"/>
              <w:ind w:left="0" w:leftChars="0"/>
              <w:jc w:val="center"/>
              <w:rPr>
                <w:rFonts w:ascii="仿宋" w:hAnsi="仿宋" w:cs="仿宋"/>
                <w:b/>
                <w:bCs/>
                <w:color w:val="auto"/>
                <w:sz w:val="24"/>
                <w:szCs w:val="24"/>
                <w:highlight w:val="none"/>
              </w:rPr>
            </w:pPr>
            <w:r>
              <w:rPr>
                <w:rFonts w:hint="eastAsia" w:ascii="仿宋" w:hAnsi="仿宋" w:cs="仿宋"/>
                <w:b/>
                <w:bCs/>
                <w:color w:val="auto"/>
                <w:sz w:val="24"/>
                <w:szCs w:val="24"/>
                <w:highlight w:val="none"/>
              </w:rPr>
              <w:t>分值</w:t>
            </w:r>
          </w:p>
        </w:tc>
      </w:tr>
      <w:tr w14:paraId="33ACB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right w:val="single" w:color="auto" w:sz="4" w:space="0"/>
            </w:tcBorders>
            <w:vAlign w:val="center"/>
          </w:tcPr>
          <w:p w14:paraId="279C4176">
            <w:pPr>
              <w:spacing w:line="360" w:lineRule="exact"/>
              <w:jc w:val="center"/>
              <w:rPr>
                <w:rFonts w:ascii="仿宋" w:hAnsi="仿宋" w:cs="仿宋"/>
                <w:color w:val="auto"/>
                <w:highlight w:val="none"/>
              </w:rPr>
            </w:pPr>
            <w:bookmarkStart w:id="10" w:name="OLE_LINK1" w:colFirst="1" w:colLast="1"/>
            <w:r>
              <w:rPr>
                <w:rFonts w:ascii="仿宋" w:hAnsi="仿宋" w:cs="仿宋"/>
                <w:color w:val="auto"/>
                <w:highlight w:val="none"/>
              </w:rPr>
              <w:t>1</w:t>
            </w:r>
          </w:p>
        </w:tc>
        <w:tc>
          <w:tcPr>
            <w:tcW w:w="1027" w:type="dxa"/>
            <w:tcBorders>
              <w:top w:val="single" w:color="auto" w:sz="4" w:space="0"/>
              <w:left w:val="single" w:color="auto" w:sz="4" w:space="0"/>
              <w:bottom w:val="single" w:color="auto" w:sz="4" w:space="0"/>
              <w:right w:val="single" w:color="auto" w:sz="4" w:space="0"/>
            </w:tcBorders>
            <w:vAlign w:val="center"/>
          </w:tcPr>
          <w:p w14:paraId="7FE4BD93">
            <w:pPr>
              <w:spacing w:line="360" w:lineRule="exact"/>
              <w:jc w:val="center"/>
              <w:rPr>
                <w:rFonts w:ascii="仿宋" w:hAnsi="仿宋" w:cs="宋体"/>
                <w:color w:val="auto"/>
                <w:kern w:val="0"/>
                <w:highlight w:val="none"/>
                <w:lang w:bidi="ar"/>
              </w:rPr>
            </w:pPr>
            <w:r>
              <w:rPr>
                <w:rFonts w:ascii="仿宋" w:hAnsi="仿宋" w:cs="宋体"/>
                <w:color w:val="auto"/>
                <w:kern w:val="0"/>
                <w:highlight w:val="none"/>
                <w:lang w:bidi="ar"/>
              </w:rPr>
              <w:t>技术性能指标</w:t>
            </w:r>
          </w:p>
        </w:tc>
        <w:tc>
          <w:tcPr>
            <w:tcW w:w="6462" w:type="dxa"/>
            <w:gridSpan w:val="2"/>
            <w:tcBorders>
              <w:top w:val="single" w:color="auto" w:sz="4" w:space="0"/>
              <w:left w:val="single" w:color="auto" w:sz="4" w:space="0"/>
              <w:bottom w:val="single" w:color="auto" w:sz="4" w:space="0"/>
              <w:right w:val="single" w:color="auto" w:sz="4" w:space="0"/>
            </w:tcBorders>
            <w:vAlign w:val="center"/>
          </w:tcPr>
          <w:p w14:paraId="41E39CFE">
            <w:pPr>
              <w:widowControl/>
              <w:snapToGrid w:val="0"/>
              <w:spacing w:line="460" w:lineRule="exact"/>
              <w:ind w:firstLine="420" w:firstLineChars="200"/>
              <w:jc w:val="left"/>
              <w:rPr>
                <w:rFonts w:hint="eastAsia" w:ascii="仿宋" w:hAnsi="仿宋" w:cs="宋体"/>
                <w:color w:val="auto"/>
                <w:kern w:val="0"/>
                <w:sz w:val="21"/>
                <w:szCs w:val="21"/>
                <w:highlight w:val="none"/>
                <w:lang w:bidi="ar"/>
              </w:rPr>
            </w:pPr>
            <w:r>
              <w:rPr>
                <w:rFonts w:hint="eastAsia" w:ascii="Times New Roman" w:hAnsi="Times New Roman" w:eastAsia="宋体" w:cs="Times New Roman"/>
                <w:color w:val="auto"/>
                <w:kern w:val="2"/>
                <w:sz w:val="21"/>
                <w:szCs w:val="21"/>
                <w:highlight w:val="none"/>
                <w:lang w:val="en-US" w:eastAsia="zh-CN" w:bidi="zh-TW"/>
              </w:rPr>
              <w:t>响应招标文件要求的技术参数、技术规格、技术规范和技术要求的得</w:t>
            </w:r>
            <w:r>
              <w:rPr>
                <w:rFonts w:hint="eastAsia" w:cs="Times New Roman"/>
                <w:color w:val="auto"/>
                <w:kern w:val="2"/>
                <w:sz w:val="21"/>
                <w:szCs w:val="21"/>
                <w:highlight w:val="none"/>
                <w:lang w:val="en-US" w:eastAsia="zh-CN" w:bidi="zh-TW"/>
              </w:rPr>
              <w:t>20</w:t>
            </w:r>
            <w:r>
              <w:rPr>
                <w:rFonts w:hint="eastAsia" w:ascii="Times New Roman" w:hAnsi="Times New Roman" w:eastAsia="宋体" w:cs="Times New Roman"/>
                <w:color w:val="auto"/>
                <w:kern w:val="2"/>
                <w:sz w:val="21"/>
                <w:szCs w:val="21"/>
                <w:highlight w:val="none"/>
                <w:lang w:val="en-US" w:eastAsia="zh-CN" w:bidi="zh-TW"/>
              </w:rPr>
              <w:t>分；参数低于招标文件要求的整体性能、技术参数、技术规格、技术规范和技术要求的每项扣1分，带“</w:t>
            </w:r>
            <w:bookmarkStart w:id="11" w:name="OLE_LINK4"/>
            <w:r>
              <w:rPr>
                <w:rFonts w:hint="eastAsia" w:ascii="Times New Roman" w:hAnsi="Times New Roman" w:eastAsia="宋体" w:cs="Times New Roman"/>
                <w:color w:val="auto"/>
                <w:kern w:val="2"/>
                <w:sz w:val="21"/>
                <w:szCs w:val="21"/>
                <w:highlight w:val="none"/>
                <w:lang w:val="en-US" w:eastAsia="zh-CN" w:bidi="zh-TW"/>
              </w:rPr>
              <w:fldChar w:fldCharType="begin"/>
            </w:r>
            <w:r>
              <w:rPr>
                <w:rFonts w:hint="eastAsia" w:ascii="Times New Roman" w:hAnsi="Times New Roman" w:eastAsia="宋体" w:cs="Times New Roman"/>
                <w:color w:val="auto"/>
                <w:kern w:val="2"/>
                <w:sz w:val="21"/>
                <w:szCs w:val="21"/>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1"/>
                <w:szCs w:val="21"/>
                <w:highlight w:val="none"/>
                <w:lang w:val="en-US" w:eastAsia="zh-CN" w:bidi="zh-TW"/>
              </w:rPr>
              <w:fldChar w:fldCharType="separate"/>
            </w:r>
            <w:r>
              <w:rPr>
                <w:rFonts w:hint="eastAsia" w:ascii="Times New Roman" w:hAnsi="Times New Roman" w:eastAsia="宋体" w:cs="Times New Roman"/>
                <w:color w:val="auto"/>
                <w:kern w:val="2"/>
                <w:sz w:val="21"/>
                <w:szCs w:val="21"/>
                <w:highlight w:val="none"/>
                <w:lang w:val="en-US" w:eastAsia="zh-CN" w:bidi="zh-TW"/>
              </w:rPr>
              <w:t>★</w:t>
            </w:r>
            <w:r>
              <w:rPr>
                <w:rFonts w:hint="eastAsia" w:ascii="Times New Roman" w:hAnsi="Times New Roman" w:eastAsia="宋体" w:cs="Times New Roman"/>
                <w:color w:val="auto"/>
                <w:kern w:val="2"/>
                <w:sz w:val="21"/>
                <w:szCs w:val="21"/>
                <w:highlight w:val="none"/>
                <w:lang w:val="en-US" w:eastAsia="zh-CN" w:bidi="zh-TW"/>
              </w:rPr>
              <w:fldChar w:fldCharType="end"/>
            </w:r>
            <w:bookmarkEnd w:id="11"/>
            <w:r>
              <w:rPr>
                <w:rFonts w:hint="eastAsia" w:ascii="Times New Roman" w:hAnsi="Times New Roman" w:eastAsia="宋体" w:cs="Times New Roman"/>
                <w:color w:val="auto"/>
                <w:kern w:val="2"/>
                <w:sz w:val="21"/>
                <w:szCs w:val="21"/>
                <w:highlight w:val="none"/>
                <w:lang w:val="en-US" w:eastAsia="zh-CN" w:bidi="zh-TW"/>
              </w:rPr>
              <w:t>”项的每项扣2分，扣完为止。</w:t>
            </w:r>
          </w:p>
          <w:p w14:paraId="364F8AA0">
            <w:pPr>
              <w:widowControl/>
              <w:snapToGrid w:val="0"/>
              <w:spacing w:line="460" w:lineRule="exact"/>
              <w:ind w:firstLine="210" w:firstLineChars="100"/>
              <w:jc w:val="left"/>
              <w:rPr>
                <w:rFonts w:ascii="仿宋" w:hAnsi="仿宋" w:cs="宋体"/>
                <w:color w:val="auto"/>
                <w:kern w:val="0"/>
                <w:highlight w:val="none"/>
                <w:lang w:bidi="ar"/>
              </w:rPr>
            </w:pPr>
            <w:r>
              <w:rPr>
                <w:rFonts w:hint="eastAsia" w:ascii="Times New Roman" w:hAnsi="Times New Roman" w:cs="Times New Roman"/>
                <w:color w:val="auto"/>
                <w:kern w:val="2"/>
                <w:sz w:val="21"/>
                <w:szCs w:val="21"/>
                <w:highlight w:val="none"/>
                <w:lang w:val="en-US" w:eastAsia="zh-CN" w:bidi="zh-TW"/>
              </w:rPr>
              <w:t>其中</w:t>
            </w:r>
            <w:r>
              <w:rPr>
                <w:rFonts w:hint="eastAsia" w:ascii="Times New Roman" w:hAnsi="Times New Roman" w:eastAsia="宋体" w:cs="Times New Roman"/>
                <w:color w:val="auto"/>
                <w:kern w:val="2"/>
                <w:sz w:val="21"/>
                <w:szCs w:val="21"/>
                <w:highlight w:val="none"/>
                <w:lang w:val="en-US" w:eastAsia="zh-CN" w:bidi="zh-TW"/>
              </w:rPr>
              <w:t>带“</w:t>
            </w:r>
            <w:r>
              <w:rPr>
                <w:rFonts w:hint="eastAsia" w:ascii="Times New Roman" w:hAnsi="Times New Roman" w:eastAsia="宋体" w:cs="Times New Roman"/>
                <w:color w:val="auto"/>
                <w:kern w:val="2"/>
                <w:sz w:val="21"/>
                <w:szCs w:val="21"/>
                <w:highlight w:val="none"/>
                <w:lang w:val="en-US" w:eastAsia="zh-CN" w:bidi="zh-TW"/>
              </w:rPr>
              <w:fldChar w:fldCharType="begin"/>
            </w:r>
            <w:r>
              <w:rPr>
                <w:rFonts w:hint="eastAsia" w:ascii="Times New Roman" w:hAnsi="Times New Roman" w:eastAsia="宋体" w:cs="Times New Roman"/>
                <w:color w:val="auto"/>
                <w:kern w:val="2"/>
                <w:sz w:val="21"/>
                <w:szCs w:val="21"/>
                <w:highlight w:val="none"/>
                <w:lang w:val="en-US" w:eastAsia="zh-CN" w:bidi="zh-TW"/>
              </w:rPr>
              <w:instrText xml:space="preserve"> HYPERLINK "http://www.baidu.com/link?url=RsbXHYautxA1X7cKt5Ochf8Cjl4WJ_lWHsiGhwireDSYAm5JF8LgmPhdi5r_9aje0SX7fQe4mZkl8kOl1VtekK" \t "https://www.baidu.com/_blank" </w:instrText>
            </w:r>
            <w:r>
              <w:rPr>
                <w:rFonts w:hint="eastAsia" w:ascii="Times New Roman" w:hAnsi="Times New Roman" w:eastAsia="宋体" w:cs="Times New Roman"/>
                <w:color w:val="auto"/>
                <w:kern w:val="2"/>
                <w:sz w:val="21"/>
                <w:szCs w:val="21"/>
                <w:highlight w:val="none"/>
                <w:lang w:val="en-US" w:eastAsia="zh-CN" w:bidi="zh-TW"/>
              </w:rPr>
              <w:fldChar w:fldCharType="separate"/>
            </w:r>
            <w:r>
              <w:rPr>
                <w:rFonts w:hint="eastAsia" w:ascii="Times New Roman" w:hAnsi="Times New Roman" w:eastAsia="宋体" w:cs="Times New Roman"/>
                <w:color w:val="auto"/>
                <w:kern w:val="2"/>
                <w:sz w:val="21"/>
                <w:szCs w:val="21"/>
                <w:highlight w:val="none"/>
                <w:lang w:val="en-US" w:eastAsia="zh-CN" w:bidi="zh-TW"/>
              </w:rPr>
              <w:t>★</w:t>
            </w:r>
            <w:r>
              <w:rPr>
                <w:rFonts w:hint="eastAsia" w:ascii="Times New Roman" w:hAnsi="Times New Roman" w:eastAsia="宋体" w:cs="Times New Roman"/>
                <w:color w:val="auto"/>
                <w:kern w:val="2"/>
                <w:sz w:val="21"/>
                <w:szCs w:val="21"/>
                <w:highlight w:val="none"/>
                <w:lang w:val="en-US" w:eastAsia="zh-CN" w:bidi="zh-TW"/>
              </w:rPr>
              <w:fldChar w:fldCharType="end"/>
            </w:r>
            <w:r>
              <w:rPr>
                <w:rFonts w:hint="eastAsia" w:ascii="Times New Roman" w:hAnsi="Times New Roman" w:eastAsia="宋体" w:cs="Times New Roman"/>
                <w:color w:val="auto"/>
                <w:kern w:val="2"/>
                <w:sz w:val="21"/>
                <w:szCs w:val="21"/>
                <w:highlight w:val="none"/>
                <w:lang w:val="en-US" w:eastAsia="zh-CN" w:bidi="zh-TW"/>
              </w:rPr>
              <w:t>”项</w:t>
            </w:r>
            <w:r>
              <w:rPr>
                <w:rFonts w:hint="eastAsia" w:ascii="Times New Roman" w:hAnsi="Times New Roman" w:cs="Times New Roman"/>
                <w:color w:val="auto"/>
                <w:kern w:val="2"/>
                <w:sz w:val="21"/>
                <w:szCs w:val="21"/>
                <w:highlight w:val="none"/>
                <w:lang w:val="en-US" w:eastAsia="zh-CN" w:bidi="zh-TW"/>
              </w:rPr>
              <w:t>需要提供加盖公章的证明截图</w:t>
            </w:r>
            <w:r>
              <w:rPr>
                <w:rFonts w:hint="eastAsia" w:ascii="仿宋" w:hAnsi="仿宋" w:cs="宋体"/>
                <w:color w:val="auto"/>
                <w:kern w:val="0"/>
                <w:highlight w:val="none"/>
                <w:lang w:bidi="ar"/>
              </w:rPr>
              <w:t>（</w:t>
            </w:r>
            <w:r>
              <w:rPr>
                <w:rFonts w:hint="eastAsia" w:ascii="仿宋" w:hAnsi="仿宋" w:cs="宋体"/>
                <w:b/>
                <w:bCs/>
                <w:color w:val="auto"/>
                <w:kern w:val="0"/>
                <w:highlight w:val="none"/>
                <w:lang w:bidi="ar"/>
              </w:rPr>
              <w:t>详见采购需求中的功能方案</w:t>
            </w:r>
            <w:r>
              <w:rPr>
                <w:rFonts w:hint="eastAsia" w:ascii="仿宋" w:hAnsi="仿宋" w:cs="宋体"/>
                <w:color w:val="auto"/>
                <w:kern w:val="0"/>
                <w:highlight w:val="none"/>
                <w:lang w:bidi="ar"/>
              </w:rPr>
              <w:t>）。</w:t>
            </w:r>
          </w:p>
          <w:p w14:paraId="242F1BD9">
            <w:pPr>
              <w:pStyle w:val="18"/>
              <w:ind w:firstLine="211"/>
              <w:rPr>
                <w:color w:val="auto"/>
                <w:highlight w:val="none"/>
              </w:rPr>
            </w:pPr>
            <w:r>
              <w:rPr>
                <w:rFonts w:hint="eastAsia" w:ascii="仿宋" w:hAnsi="仿宋" w:eastAsia="宋体" w:cs="宋体"/>
                <w:color w:val="auto"/>
                <w:sz w:val="21"/>
                <w:szCs w:val="24"/>
                <w:highlight w:val="none"/>
                <w:u w:val="single"/>
                <w:lang w:bidi="ar"/>
              </w:rPr>
              <w:t>需提供需求响应表和商务响应表，不提供不得分。</w:t>
            </w:r>
          </w:p>
        </w:tc>
        <w:tc>
          <w:tcPr>
            <w:tcW w:w="1009" w:type="dxa"/>
            <w:tcBorders>
              <w:top w:val="single" w:color="auto" w:sz="4" w:space="0"/>
              <w:left w:val="single" w:color="auto" w:sz="4" w:space="0"/>
              <w:bottom w:val="single" w:color="auto" w:sz="4" w:space="0"/>
            </w:tcBorders>
            <w:vAlign w:val="center"/>
          </w:tcPr>
          <w:p w14:paraId="70B1499B">
            <w:pPr>
              <w:spacing w:line="360" w:lineRule="exact"/>
              <w:jc w:val="center"/>
              <w:rPr>
                <w:rFonts w:ascii="仿宋" w:hAnsi="仿宋" w:cs="仿宋"/>
                <w:bCs/>
                <w:color w:val="auto"/>
                <w:highlight w:val="none"/>
              </w:rPr>
            </w:pPr>
            <w:r>
              <w:rPr>
                <w:rFonts w:hint="eastAsia" w:ascii="仿宋" w:hAnsi="仿宋" w:cs="仿宋"/>
                <w:bCs/>
                <w:color w:val="auto"/>
                <w:highlight w:val="none"/>
              </w:rPr>
              <w:t>20分</w:t>
            </w:r>
          </w:p>
        </w:tc>
      </w:tr>
      <w:tr w14:paraId="6BA73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right w:val="single" w:color="auto" w:sz="4" w:space="0"/>
            </w:tcBorders>
            <w:vAlign w:val="center"/>
          </w:tcPr>
          <w:p w14:paraId="4AB89F2A">
            <w:pPr>
              <w:spacing w:line="360" w:lineRule="exact"/>
              <w:jc w:val="center"/>
              <w:rPr>
                <w:rFonts w:ascii="仿宋" w:hAnsi="仿宋" w:cs="仿宋"/>
                <w:color w:val="auto"/>
                <w:highlight w:val="none"/>
              </w:rPr>
            </w:pPr>
            <w:r>
              <w:rPr>
                <w:rFonts w:ascii="仿宋" w:hAnsi="仿宋" w:cs="仿宋"/>
                <w:color w:val="auto"/>
                <w:highlight w:val="none"/>
              </w:rPr>
              <w:t>2</w:t>
            </w:r>
          </w:p>
        </w:tc>
        <w:tc>
          <w:tcPr>
            <w:tcW w:w="1027" w:type="dxa"/>
            <w:tcBorders>
              <w:top w:val="single" w:color="auto" w:sz="4" w:space="0"/>
              <w:left w:val="single" w:color="auto" w:sz="4" w:space="0"/>
              <w:bottom w:val="single" w:color="auto" w:sz="4" w:space="0"/>
              <w:right w:val="single" w:color="auto" w:sz="4" w:space="0"/>
            </w:tcBorders>
            <w:vAlign w:val="center"/>
          </w:tcPr>
          <w:p w14:paraId="6B43272B">
            <w:pPr>
              <w:spacing w:line="360" w:lineRule="exact"/>
              <w:jc w:val="center"/>
              <w:rPr>
                <w:rFonts w:ascii="仿宋" w:hAnsi="仿宋" w:cs="仿宋"/>
                <w:bCs/>
                <w:color w:val="auto"/>
                <w:highlight w:val="none"/>
              </w:rPr>
            </w:pPr>
            <w:bookmarkStart w:id="12" w:name="OLE_LINK2"/>
            <w:r>
              <w:rPr>
                <w:rFonts w:ascii="仿宋" w:hAnsi="仿宋" w:cs="仿宋"/>
                <w:bCs/>
                <w:color w:val="auto"/>
                <w:highlight w:val="none"/>
              </w:rPr>
              <w:t>项目理解分析</w:t>
            </w:r>
            <w:bookmarkEnd w:id="12"/>
          </w:p>
        </w:tc>
        <w:tc>
          <w:tcPr>
            <w:tcW w:w="6462" w:type="dxa"/>
            <w:gridSpan w:val="2"/>
            <w:tcBorders>
              <w:top w:val="single" w:color="auto" w:sz="4" w:space="0"/>
              <w:left w:val="single" w:color="auto" w:sz="4" w:space="0"/>
              <w:bottom w:val="single" w:color="auto" w:sz="4" w:space="0"/>
              <w:right w:val="single" w:color="auto" w:sz="4" w:space="0"/>
            </w:tcBorders>
            <w:vAlign w:val="center"/>
          </w:tcPr>
          <w:p w14:paraId="689AD075">
            <w:pPr>
              <w:widowControl/>
              <w:snapToGrid w:val="0"/>
              <w:spacing w:line="460" w:lineRule="exact"/>
              <w:ind w:firstLine="210" w:firstLineChars="100"/>
              <w:jc w:val="left"/>
              <w:rPr>
                <w:rFonts w:ascii="仿宋" w:hAnsi="仿宋" w:cs="宋体"/>
                <w:color w:val="auto"/>
                <w:kern w:val="0"/>
                <w:highlight w:val="none"/>
                <w:lang w:bidi="ar"/>
              </w:rPr>
            </w:pPr>
            <w:r>
              <w:rPr>
                <w:rFonts w:hint="eastAsia" w:ascii="仿宋" w:hAnsi="仿宋" w:cs="宋体"/>
                <w:color w:val="auto"/>
                <w:kern w:val="0"/>
                <w:highlight w:val="none"/>
                <w:lang w:bidi="ar"/>
              </w:rPr>
              <w:t>对项目建设内容的了解程度，投标方案对项目建设背景、业务现状及分析、建设目标、项目需求的理解，并且能够在投标文件中予以体现，按其响应程度打分。分析到位得5-7分，一般得3-4分，未完整分析得1-2分。</w:t>
            </w:r>
          </w:p>
          <w:p w14:paraId="0EC05575">
            <w:pPr>
              <w:widowControl/>
              <w:snapToGrid w:val="0"/>
              <w:spacing w:line="460" w:lineRule="exact"/>
              <w:ind w:firstLine="211" w:firstLineChars="100"/>
              <w:jc w:val="left"/>
              <w:rPr>
                <w:color w:val="auto"/>
                <w:highlight w:val="none"/>
                <w:lang w:bidi="ar"/>
              </w:rPr>
            </w:pPr>
            <w:r>
              <w:rPr>
                <w:rFonts w:hint="eastAsia" w:ascii="仿宋" w:hAnsi="仿宋" w:cs="宋体"/>
                <w:b/>
                <w:bCs/>
                <w:color w:val="auto"/>
                <w:kern w:val="0"/>
                <w:highlight w:val="none"/>
                <w:u w:val="single"/>
                <w:lang w:bidi="ar"/>
              </w:rPr>
              <w:t>以上方案不提供不得分。</w:t>
            </w:r>
          </w:p>
        </w:tc>
        <w:tc>
          <w:tcPr>
            <w:tcW w:w="1009" w:type="dxa"/>
            <w:tcBorders>
              <w:top w:val="single" w:color="auto" w:sz="4" w:space="0"/>
              <w:left w:val="single" w:color="auto" w:sz="4" w:space="0"/>
              <w:bottom w:val="single" w:color="auto" w:sz="4" w:space="0"/>
            </w:tcBorders>
            <w:vAlign w:val="center"/>
          </w:tcPr>
          <w:p w14:paraId="00C65CE8">
            <w:pPr>
              <w:spacing w:line="360" w:lineRule="exact"/>
              <w:jc w:val="center"/>
              <w:rPr>
                <w:rFonts w:ascii="仿宋" w:hAnsi="仿宋" w:cs="仿宋"/>
                <w:bCs/>
                <w:color w:val="auto"/>
                <w:highlight w:val="none"/>
              </w:rPr>
            </w:pPr>
            <w:r>
              <w:rPr>
                <w:rFonts w:hint="eastAsia" w:ascii="仿宋" w:hAnsi="仿宋" w:cs="仿宋"/>
                <w:bCs/>
                <w:color w:val="auto"/>
                <w:highlight w:val="none"/>
              </w:rPr>
              <w:t>7分</w:t>
            </w:r>
          </w:p>
        </w:tc>
      </w:tr>
      <w:tr w14:paraId="06D61A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bottom w:val="single" w:color="auto" w:sz="4" w:space="0"/>
              <w:right w:val="single" w:color="auto" w:sz="4" w:space="0"/>
            </w:tcBorders>
            <w:vAlign w:val="center"/>
          </w:tcPr>
          <w:p w14:paraId="386BA354">
            <w:pPr>
              <w:spacing w:line="360" w:lineRule="exact"/>
              <w:jc w:val="center"/>
              <w:rPr>
                <w:rFonts w:ascii="仿宋" w:hAnsi="仿宋" w:cs="仿宋"/>
                <w:bCs/>
                <w:color w:val="auto"/>
                <w:highlight w:val="none"/>
              </w:rPr>
            </w:pPr>
            <w:r>
              <w:rPr>
                <w:rFonts w:ascii="仿宋" w:hAnsi="仿宋" w:cs="仿宋"/>
                <w:color w:val="auto"/>
                <w:highlight w:val="none"/>
              </w:rPr>
              <w:t>3</w:t>
            </w:r>
          </w:p>
        </w:tc>
        <w:tc>
          <w:tcPr>
            <w:tcW w:w="1027" w:type="dxa"/>
            <w:tcBorders>
              <w:top w:val="single" w:color="auto" w:sz="4" w:space="0"/>
              <w:left w:val="single" w:color="auto" w:sz="4" w:space="0"/>
              <w:bottom w:val="single" w:color="auto" w:sz="4" w:space="0"/>
              <w:right w:val="single" w:color="auto" w:sz="4" w:space="0"/>
            </w:tcBorders>
            <w:vAlign w:val="center"/>
          </w:tcPr>
          <w:p w14:paraId="53D977F3">
            <w:pPr>
              <w:spacing w:line="360" w:lineRule="exact"/>
              <w:jc w:val="center"/>
              <w:rPr>
                <w:rFonts w:ascii="仿宋" w:hAnsi="仿宋" w:cs="仿宋"/>
                <w:bCs/>
                <w:color w:val="auto"/>
                <w:highlight w:val="none"/>
              </w:rPr>
            </w:pPr>
            <w:r>
              <w:rPr>
                <w:rFonts w:ascii="仿宋" w:hAnsi="仿宋" w:cs="仿宋"/>
                <w:bCs/>
                <w:color w:val="auto"/>
                <w:highlight w:val="none"/>
              </w:rPr>
              <w:t>项目实施方案</w:t>
            </w:r>
          </w:p>
        </w:tc>
        <w:tc>
          <w:tcPr>
            <w:tcW w:w="6462" w:type="dxa"/>
            <w:gridSpan w:val="2"/>
            <w:tcBorders>
              <w:top w:val="single" w:color="auto" w:sz="4" w:space="0"/>
              <w:left w:val="single" w:color="auto" w:sz="4" w:space="0"/>
              <w:bottom w:val="single" w:color="auto" w:sz="4" w:space="0"/>
              <w:right w:val="single" w:color="auto" w:sz="4" w:space="0"/>
            </w:tcBorders>
            <w:vAlign w:val="center"/>
          </w:tcPr>
          <w:p w14:paraId="48348F62">
            <w:pPr>
              <w:widowControl/>
              <w:snapToGrid w:val="0"/>
              <w:spacing w:line="460" w:lineRule="exact"/>
              <w:ind w:firstLine="210" w:firstLineChars="100"/>
              <w:jc w:val="left"/>
              <w:rPr>
                <w:rFonts w:ascii="仿宋" w:hAnsi="仿宋" w:cs="宋体"/>
                <w:color w:val="auto"/>
                <w:kern w:val="0"/>
                <w:highlight w:val="none"/>
                <w:lang w:bidi="ar"/>
              </w:rPr>
            </w:pPr>
            <w:r>
              <w:rPr>
                <w:rFonts w:hint="eastAsia" w:ascii="仿宋" w:hAnsi="仿宋" w:cs="宋体"/>
                <w:color w:val="auto"/>
                <w:kern w:val="0"/>
                <w:highlight w:val="none"/>
                <w:lang w:bidi="ar"/>
              </w:rPr>
              <w:t>1、实施方案全面，具有合理的进度安排、组织架构，具有良好的进度控制、风险控制管理、质量保障措施、信息安全管理措施、文档管理措施，得</w:t>
            </w:r>
            <w:bookmarkStart w:id="13" w:name="OLE_LINK6"/>
            <w:r>
              <w:rPr>
                <w:rFonts w:hint="eastAsia" w:ascii="仿宋" w:hAnsi="仿宋" w:cs="宋体"/>
                <w:color w:val="auto"/>
                <w:kern w:val="0"/>
                <w:highlight w:val="none"/>
                <w:lang w:val="en-US" w:eastAsia="zh-CN" w:bidi="ar"/>
              </w:rPr>
              <w:t>4-</w:t>
            </w:r>
            <w:r>
              <w:rPr>
                <w:rFonts w:hint="eastAsia" w:ascii="仿宋" w:hAnsi="仿宋" w:cs="宋体"/>
                <w:color w:val="auto"/>
                <w:kern w:val="0"/>
                <w:highlight w:val="none"/>
                <w:lang w:bidi="ar"/>
              </w:rPr>
              <w:t>5</w:t>
            </w:r>
            <w:bookmarkEnd w:id="13"/>
            <w:r>
              <w:rPr>
                <w:rFonts w:hint="eastAsia" w:ascii="仿宋" w:hAnsi="仿宋" w:cs="宋体"/>
                <w:color w:val="auto"/>
                <w:kern w:val="0"/>
                <w:highlight w:val="none"/>
                <w:lang w:bidi="ar"/>
              </w:rPr>
              <w:t>分</w:t>
            </w:r>
            <w:r>
              <w:rPr>
                <w:rFonts w:hint="eastAsia" w:ascii="仿宋" w:hAnsi="仿宋" w:cs="宋体"/>
                <w:color w:val="auto"/>
                <w:kern w:val="0"/>
                <w:highlight w:val="none"/>
                <w:lang w:eastAsia="zh-CN" w:bidi="ar"/>
              </w:rPr>
              <w:t>；</w:t>
            </w:r>
            <w:bookmarkStart w:id="14" w:name="OLE_LINK10"/>
            <w:r>
              <w:rPr>
                <w:rFonts w:hint="eastAsia" w:ascii="仿宋" w:hAnsi="仿宋" w:cs="宋体"/>
                <w:color w:val="auto"/>
                <w:kern w:val="0"/>
                <w:highlight w:val="none"/>
                <w:lang w:val="en-US" w:eastAsia="zh-CN" w:bidi="ar"/>
              </w:rPr>
              <w:t>方案较合理得</w:t>
            </w:r>
            <w:bookmarkStart w:id="15" w:name="OLE_LINK7"/>
            <w:r>
              <w:rPr>
                <w:rFonts w:hint="eastAsia" w:ascii="仿宋" w:hAnsi="仿宋" w:cs="宋体"/>
                <w:color w:val="auto"/>
                <w:kern w:val="0"/>
                <w:highlight w:val="none"/>
                <w:lang w:val="en-US" w:eastAsia="zh-CN" w:bidi="ar"/>
              </w:rPr>
              <w:t>2-3</w:t>
            </w:r>
            <w:bookmarkEnd w:id="15"/>
            <w:r>
              <w:rPr>
                <w:rFonts w:hint="eastAsia" w:ascii="仿宋" w:hAnsi="仿宋" w:cs="宋体"/>
                <w:color w:val="auto"/>
                <w:kern w:val="0"/>
                <w:highlight w:val="none"/>
                <w:lang w:val="en-US" w:eastAsia="zh-CN" w:bidi="ar"/>
              </w:rPr>
              <w:t>分；方案一般得</w:t>
            </w:r>
            <w:bookmarkStart w:id="16" w:name="OLE_LINK8"/>
            <w:r>
              <w:rPr>
                <w:rFonts w:hint="eastAsia" w:ascii="仿宋" w:hAnsi="仿宋" w:cs="宋体"/>
                <w:color w:val="auto"/>
                <w:kern w:val="0"/>
                <w:highlight w:val="none"/>
                <w:lang w:val="en-US" w:eastAsia="zh-CN" w:bidi="ar"/>
              </w:rPr>
              <w:t>1-2</w:t>
            </w:r>
            <w:bookmarkEnd w:id="16"/>
            <w:r>
              <w:rPr>
                <w:rFonts w:hint="eastAsia" w:ascii="仿宋" w:hAnsi="仿宋" w:cs="宋体"/>
                <w:color w:val="auto"/>
                <w:kern w:val="0"/>
                <w:highlight w:val="none"/>
                <w:lang w:val="en-US" w:eastAsia="zh-CN" w:bidi="ar"/>
              </w:rPr>
              <w:t>分</w:t>
            </w:r>
            <w:bookmarkStart w:id="17" w:name="OLE_LINK9"/>
            <w:r>
              <w:rPr>
                <w:rFonts w:hint="eastAsia" w:ascii="仿宋" w:hAnsi="仿宋" w:cs="宋体"/>
                <w:color w:val="auto"/>
                <w:kern w:val="0"/>
                <w:highlight w:val="none"/>
                <w:lang w:val="en-US" w:eastAsia="zh-CN" w:bidi="ar"/>
              </w:rPr>
              <w:t>，不合理不得分</w:t>
            </w:r>
            <w:r>
              <w:rPr>
                <w:rFonts w:hint="eastAsia" w:ascii="仿宋" w:hAnsi="仿宋" w:cs="宋体"/>
                <w:color w:val="auto"/>
                <w:kern w:val="0"/>
                <w:highlight w:val="none"/>
                <w:lang w:bidi="ar"/>
              </w:rPr>
              <w:t>。</w:t>
            </w:r>
          </w:p>
          <w:bookmarkEnd w:id="14"/>
          <w:bookmarkEnd w:id="17"/>
          <w:p w14:paraId="7A98E6EA">
            <w:pPr>
              <w:widowControl/>
              <w:snapToGrid w:val="0"/>
              <w:spacing w:line="460" w:lineRule="exact"/>
              <w:ind w:firstLine="210" w:firstLineChars="100"/>
              <w:jc w:val="left"/>
              <w:rPr>
                <w:rFonts w:ascii="仿宋" w:hAnsi="仿宋" w:cs="宋体"/>
                <w:color w:val="auto"/>
                <w:kern w:val="0"/>
                <w:highlight w:val="none"/>
                <w:lang w:bidi="ar"/>
              </w:rPr>
            </w:pPr>
            <w:r>
              <w:rPr>
                <w:rFonts w:hint="eastAsia" w:ascii="仿宋" w:hAnsi="仿宋" w:cs="宋体"/>
                <w:color w:val="auto"/>
                <w:kern w:val="0"/>
                <w:highlight w:val="none"/>
                <w:lang w:bidi="ar"/>
              </w:rPr>
              <w:t>2、安全性设计全面科学，关键性技术问题的认识清晰，应对措施合理可行，得得</w:t>
            </w:r>
            <w:r>
              <w:rPr>
                <w:rFonts w:hint="eastAsia" w:ascii="仿宋" w:hAnsi="仿宋" w:cs="宋体"/>
                <w:color w:val="auto"/>
                <w:kern w:val="0"/>
                <w:highlight w:val="none"/>
                <w:lang w:val="en-US" w:eastAsia="zh-CN" w:bidi="ar"/>
              </w:rPr>
              <w:t>4-</w:t>
            </w:r>
            <w:r>
              <w:rPr>
                <w:rFonts w:hint="eastAsia" w:ascii="仿宋" w:hAnsi="仿宋" w:cs="宋体"/>
                <w:color w:val="auto"/>
                <w:kern w:val="0"/>
                <w:highlight w:val="none"/>
                <w:lang w:bidi="ar"/>
              </w:rPr>
              <w:t>5分</w:t>
            </w:r>
            <w:r>
              <w:rPr>
                <w:rFonts w:hint="eastAsia" w:ascii="仿宋" w:hAnsi="仿宋" w:cs="宋体"/>
                <w:color w:val="auto"/>
                <w:kern w:val="0"/>
                <w:highlight w:val="none"/>
                <w:lang w:eastAsia="zh-CN" w:bidi="ar"/>
              </w:rPr>
              <w:t>；</w:t>
            </w:r>
            <w:r>
              <w:rPr>
                <w:rFonts w:hint="eastAsia" w:ascii="仿宋" w:hAnsi="仿宋" w:cs="宋体"/>
                <w:color w:val="auto"/>
                <w:kern w:val="0"/>
                <w:highlight w:val="none"/>
                <w:lang w:val="en-US" w:eastAsia="zh-CN" w:bidi="ar"/>
              </w:rPr>
              <w:t>方案较合理得2-3分；方案一般得1-2分，不合理不得分</w:t>
            </w:r>
            <w:r>
              <w:rPr>
                <w:rFonts w:hint="eastAsia" w:ascii="仿宋" w:hAnsi="仿宋" w:cs="宋体"/>
                <w:color w:val="auto"/>
                <w:kern w:val="0"/>
                <w:highlight w:val="none"/>
                <w:lang w:bidi="ar"/>
              </w:rPr>
              <w:t>。</w:t>
            </w:r>
          </w:p>
          <w:p w14:paraId="3C382E1E">
            <w:pPr>
              <w:widowControl/>
              <w:snapToGrid w:val="0"/>
              <w:spacing w:line="460" w:lineRule="exact"/>
              <w:ind w:firstLine="210" w:firstLineChars="100"/>
              <w:jc w:val="left"/>
              <w:rPr>
                <w:rFonts w:ascii="仿宋" w:hAnsi="仿宋" w:cs="宋体"/>
                <w:color w:val="auto"/>
                <w:kern w:val="0"/>
                <w:highlight w:val="none"/>
                <w:lang w:bidi="ar"/>
              </w:rPr>
            </w:pPr>
            <w:r>
              <w:rPr>
                <w:rFonts w:hint="eastAsia" w:ascii="仿宋" w:hAnsi="仿宋" w:cs="宋体"/>
                <w:color w:val="auto"/>
                <w:kern w:val="0"/>
                <w:highlight w:val="none"/>
                <w:lang w:bidi="ar"/>
              </w:rPr>
              <w:t>3、</w:t>
            </w:r>
            <w:r>
              <w:rPr>
                <w:rFonts w:hint="eastAsia" w:ascii="仿宋" w:hAnsi="仿宋" w:eastAsia="宋体" w:cs="宋体"/>
                <w:color w:val="auto"/>
                <w:kern w:val="0"/>
                <w:highlight w:val="none"/>
                <w:lang w:bidi="ar"/>
              </w:rPr>
              <w:t>投标人保证工期的方案和措施：确保项目交货期、施工组织机构和分工安排</w:t>
            </w:r>
            <w:r>
              <w:rPr>
                <w:rFonts w:hint="eastAsia" w:ascii="仿宋" w:hAnsi="仿宋" w:eastAsia="宋体" w:cs="宋体"/>
                <w:color w:val="auto"/>
                <w:kern w:val="0"/>
                <w:highlight w:val="none"/>
                <w:lang w:eastAsia="zh-CN" w:bidi="ar"/>
              </w:rPr>
              <w:t>，根据</w:t>
            </w:r>
            <w:r>
              <w:rPr>
                <w:rFonts w:hint="eastAsia" w:ascii="仿宋" w:hAnsi="仿宋" w:eastAsia="宋体" w:cs="宋体"/>
                <w:color w:val="auto"/>
                <w:kern w:val="0"/>
                <w:highlight w:val="none"/>
                <w:lang w:bidi="ar"/>
              </w:rPr>
              <w:t>项目过程中各阶段划分</w:t>
            </w:r>
            <w:r>
              <w:rPr>
                <w:rFonts w:hint="eastAsia" w:ascii="仿宋" w:hAnsi="仿宋" w:eastAsia="宋体" w:cs="宋体"/>
                <w:color w:val="auto"/>
                <w:kern w:val="0"/>
                <w:highlight w:val="none"/>
                <w:lang w:eastAsia="zh-CN" w:bidi="ar"/>
              </w:rPr>
              <w:t>、</w:t>
            </w:r>
            <w:r>
              <w:rPr>
                <w:rFonts w:hint="eastAsia" w:ascii="仿宋" w:hAnsi="仿宋" w:eastAsia="宋体" w:cs="宋体"/>
                <w:color w:val="auto"/>
                <w:kern w:val="0"/>
                <w:highlight w:val="none"/>
                <w:lang w:bidi="ar"/>
              </w:rPr>
              <w:t>控制等方案和措施</w:t>
            </w:r>
            <w:r>
              <w:rPr>
                <w:rFonts w:hint="eastAsia" w:ascii="仿宋" w:hAnsi="仿宋" w:eastAsia="宋体" w:cs="宋体"/>
                <w:color w:val="auto"/>
                <w:kern w:val="0"/>
                <w:highlight w:val="none"/>
                <w:lang w:eastAsia="zh-CN" w:bidi="ar"/>
              </w:rPr>
              <w:t>是否</w:t>
            </w:r>
            <w:r>
              <w:rPr>
                <w:rFonts w:hint="eastAsia" w:ascii="仿宋" w:hAnsi="仿宋" w:eastAsia="宋体" w:cs="宋体"/>
                <w:color w:val="auto"/>
                <w:kern w:val="0"/>
                <w:highlight w:val="none"/>
                <w:lang w:bidi="ar"/>
              </w:rPr>
              <w:t>切实可行</w:t>
            </w:r>
            <w:r>
              <w:rPr>
                <w:rFonts w:hint="eastAsia" w:ascii="仿宋" w:hAnsi="仿宋" w:eastAsia="宋体" w:cs="宋体"/>
                <w:color w:val="auto"/>
                <w:kern w:val="0"/>
                <w:highlight w:val="none"/>
                <w:lang w:eastAsia="zh-CN" w:bidi="ar"/>
              </w:rPr>
              <w:t>由评分专家进行综合评分。优</w:t>
            </w:r>
            <w:r>
              <w:rPr>
                <w:rFonts w:hint="eastAsia" w:ascii="仿宋" w:hAnsi="仿宋" w:eastAsia="宋体" w:cs="宋体"/>
                <w:color w:val="auto"/>
                <w:kern w:val="0"/>
                <w:highlight w:val="none"/>
                <w:lang w:bidi="ar"/>
              </w:rPr>
              <w:t>得</w:t>
            </w:r>
            <w:r>
              <w:rPr>
                <w:rFonts w:hint="eastAsia" w:ascii="仿宋" w:hAnsi="仿宋" w:cs="宋体"/>
                <w:color w:val="auto"/>
                <w:kern w:val="0"/>
                <w:highlight w:val="none"/>
                <w:lang w:val="en-US" w:eastAsia="zh-CN" w:bidi="ar"/>
              </w:rPr>
              <w:t>4-</w:t>
            </w:r>
            <w:r>
              <w:rPr>
                <w:rFonts w:hint="eastAsia" w:ascii="仿宋" w:hAnsi="仿宋" w:cs="宋体"/>
                <w:color w:val="auto"/>
                <w:kern w:val="0"/>
                <w:highlight w:val="none"/>
                <w:lang w:bidi="ar"/>
              </w:rPr>
              <w:t>5</w:t>
            </w:r>
            <w:r>
              <w:rPr>
                <w:rFonts w:hint="eastAsia" w:ascii="仿宋" w:hAnsi="仿宋" w:eastAsia="宋体" w:cs="宋体"/>
                <w:color w:val="auto"/>
                <w:kern w:val="0"/>
                <w:highlight w:val="none"/>
                <w:lang w:val="en-US" w:eastAsia="zh-CN" w:bidi="ar"/>
              </w:rPr>
              <w:t>分、良得</w:t>
            </w:r>
            <w:r>
              <w:rPr>
                <w:rFonts w:hint="eastAsia" w:ascii="仿宋" w:hAnsi="仿宋" w:cs="宋体"/>
                <w:color w:val="auto"/>
                <w:kern w:val="0"/>
                <w:highlight w:val="none"/>
                <w:lang w:val="en-US" w:eastAsia="zh-CN" w:bidi="ar"/>
              </w:rPr>
              <w:t>2-3</w:t>
            </w:r>
            <w:r>
              <w:rPr>
                <w:rFonts w:hint="eastAsia" w:ascii="仿宋" w:hAnsi="仿宋" w:eastAsia="宋体" w:cs="宋体"/>
                <w:color w:val="auto"/>
                <w:kern w:val="0"/>
                <w:highlight w:val="none"/>
                <w:lang w:val="en-US" w:eastAsia="zh-CN" w:bidi="ar"/>
              </w:rPr>
              <w:t>分、一般得</w:t>
            </w:r>
            <w:r>
              <w:rPr>
                <w:rFonts w:hint="eastAsia" w:ascii="仿宋" w:hAnsi="仿宋" w:cs="宋体"/>
                <w:color w:val="auto"/>
                <w:kern w:val="0"/>
                <w:highlight w:val="none"/>
                <w:lang w:val="en-US" w:eastAsia="zh-CN" w:bidi="ar"/>
              </w:rPr>
              <w:t>1-2</w:t>
            </w:r>
            <w:r>
              <w:rPr>
                <w:rFonts w:hint="eastAsia" w:ascii="仿宋" w:hAnsi="仿宋" w:eastAsia="宋体" w:cs="宋体"/>
                <w:color w:val="auto"/>
                <w:kern w:val="0"/>
                <w:highlight w:val="none"/>
                <w:lang w:val="en-US" w:eastAsia="zh-CN" w:bidi="ar"/>
              </w:rPr>
              <w:t>分。</w:t>
            </w:r>
            <w:r>
              <w:rPr>
                <w:rFonts w:hint="eastAsia" w:ascii="仿宋" w:hAnsi="仿宋" w:cs="宋体"/>
                <w:color w:val="auto"/>
                <w:kern w:val="0"/>
                <w:highlight w:val="none"/>
                <w:lang w:val="en-US" w:eastAsia="zh-CN" w:bidi="ar"/>
              </w:rPr>
              <w:t>不合理不得分</w:t>
            </w:r>
            <w:r>
              <w:rPr>
                <w:rFonts w:hint="eastAsia" w:ascii="仿宋" w:hAnsi="仿宋" w:cs="宋体"/>
                <w:color w:val="auto"/>
                <w:kern w:val="0"/>
                <w:highlight w:val="none"/>
                <w:lang w:bidi="ar"/>
              </w:rPr>
              <w:t>。</w:t>
            </w:r>
            <w:r>
              <w:rPr>
                <w:rFonts w:hint="eastAsia" w:ascii="仿宋" w:hAnsi="仿宋" w:eastAsia="宋体" w:cs="宋体"/>
                <w:color w:val="auto"/>
                <w:kern w:val="0"/>
                <w:highlight w:val="none"/>
                <w:lang w:val="en-US" w:eastAsia="zh-CN" w:bidi="ar"/>
              </w:rPr>
              <w:t>不提供方案及措施不得分</w:t>
            </w:r>
            <w:r>
              <w:rPr>
                <w:rFonts w:hint="eastAsia" w:ascii="仿宋" w:hAnsi="仿宋" w:eastAsia="宋体" w:cs="宋体"/>
                <w:color w:val="auto"/>
                <w:kern w:val="0"/>
                <w:highlight w:val="none"/>
                <w:lang w:bidi="ar"/>
              </w:rPr>
              <w:t>。</w:t>
            </w:r>
          </w:p>
          <w:p w14:paraId="02B0A831">
            <w:pPr>
              <w:widowControl/>
              <w:snapToGrid w:val="0"/>
              <w:spacing w:line="460" w:lineRule="exact"/>
              <w:ind w:firstLine="210" w:firstLineChars="100"/>
              <w:jc w:val="left"/>
              <w:rPr>
                <w:rFonts w:hint="eastAsia" w:ascii="仿宋" w:hAnsi="仿宋" w:cs="宋体"/>
                <w:b/>
                <w:color w:val="auto"/>
                <w:kern w:val="0"/>
                <w:highlight w:val="none"/>
                <w:u w:val="single"/>
                <w:lang w:bidi="ar"/>
              </w:rPr>
            </w:pPr>
            <w:r>
              <w:rPr>
                <w:rFonts w:hint="eastAsia" w:ascii="仿宋" w:hAnsi="仿宋" w:cs="宋体"/>
                <w:color w:val="auto"/>
                <w:kern w:val="0"/>
                <w:highlight w:val="none"/>
                <w:lang w:bidi="ar"/>
              </w:rPr>
              <w:t>4、投标人建立运行服务保障应急预案，方案对系统实施可能遇到的问题及其应对措施的考虑情况，在维保服务期间巡检、故障处理的组织和联系机制的合理性、有效性以上内容响应度满足本项目需求的</w:t>
            </w:r>
            <w:bookmarkStart w:id="18" w:name="OLE_LINK11"/>
            <w:r>
              <w:rPr>
                <w:rFonts w:hint="eastAsia" w:ascii="仿宋" w:hAnsi="仿宋" w:cs="宋体"/>
                <w:color w:val="auto"/>
                <w:kern w:val="0"/>
                <w:highlight w:val="none"/>
                <w:lang w:bidi="ar"/>
              </w:rPr>
              <w:t>得</w:t>
            </w:r>
            <w:r>
              <w:rPr>
                <w:rFonts w:hint="eastAsia" w:ascii="仿宋" w:hAnsi="仿宋" w:cs="宋体"/>
                <w:color w:val="auto"/>
                <w:kern w:val="0"/>
                <w:highlight w:val="none"/>
                <w:lang w:val="en-US" w:eastAsia="zh-CN" w:bidi="ar"/>
              </w:rPr>
              <w:t>4-</w:t>
            </w:r>
            <w:r>
              <w:rPr>
                <w:rFonts w:hint="eastAsia" w:ascii="仿宋" w:hAnsi="仿宋" w:cs="宋体"/>
                <w:color w:val="auto"/>
                <w:kern w:val="0"/>
                <w:highlight w:val="none"/>
                <w:lang w:bidi="ar"/>
              </w:rPr>
              <w:t>5分</w:t>
            </w:r>
            <w:r>
              <w:rPr>
                <w:rFonts w:hint="eastAsia" w:ascii="仿宋" w:hAnsi="仿宋" w:cs="宋体"/>
                <w:color w:val="auto"/>
                <w:kern w:val="0"/>
                <w:highlight w:val="none"/>
                <w:lang w:eastAsia="zh-CN" w:bidi="ar"/>
              </w:rPr>
              <w:t>；</w:t>
            </w:r>
            <w:r>
              <w:rPr>
                <w:rFonts w:hint="eastAsia" w:ascii="仿宋" w:hAnsi="仿宋" w:cs="宋体"/>
                <w:color w:val="auto"/>
                <w:kern w:val="0"/>
                <w:highlight w:val="none"/>
                <w:lang w:val="en-US" w:eastAsia="zh-CN" w:bidi="ar"/>
              </w:rPr>
              <w:t>方案较合理得2-3分；方案一般得1-2分，不合理不得分</w:t>
            </w:r>
            <w:r>
              <w:rPr>
                <w:rFonts w:hint="eastAsia" w:ascii="仿宋" w:hAnsi="仿宋" w:cs="宋体"/>
                <w:color w:val="auto"/>
                <w:kern w:val="0"/>
                <w:highlight w:val="none"/>
                <w:lang w:bidi="ar"/>
              </w:rPr>
              <w:t>。</w:t>
            </w:r>
            <w:bookmarkEnd w:id="18"/>
          </w:p>
          <w:p w14:paraId="72C5D025">
            <w:pPr>
              <w:widowControl/>
              <w:snapToGrid w:val="0"/>
              <w:spacing w:line="460" w:lineRule="exact"/>
              <w:ind w:firstLine="211" w:firstLineChars="100"/>
              <w:jc w:val="left"/>
              <w:rPr>
                <w:rFonts w:ascii="仿宋" w:hAnsi="仿宋" w:cs="仿宋"/>
                <w:b/>
                <w:bCs/>
                <w:color w:val="auto"/>
                <w:highlight w:val="none"/>
                <w:u w:val="single"/>
              </w:rPr>
            </w:pPr>
            <w:r>
              <w:rPr>
                <w:rFonts w:hint="eastAsia" w:ascii="仿宋" w:hAnsi="仿宋" w:cs="宋体"/>
                <w:b/>
                <w:color w:val="auto"/>
                <w:kern w:val="0"/>
                <w:highlight w:val="none"/>
                <w:u w:val="single"/>
                <w:lang w:bidi="ar"/>
              </w:rPr>
              <w:t>以上方案不提供不得分。</w:t>
            </w:r>
          </w:p>
        </w:tc>
        <w:tc>
          <w:tcPr>
            <w:tcW w:w="1009" w:type="dxa"/>
            <w:tcBorders>
              <w:top w:val="single" w:color="auto" w:sz="4" w:space="0"/>
              <w:left w:val="single" w:color="auto" w:sz="4" w:space="0"/>
              <w:bottom w:val="single" w:color="auto" w:sz="4" w:space="0"/>
            </w:tcBorders>
            <w:vAlign w:val="center"/>
          </w:tcPr>
          <w:p w14:paraId="4AC94CF0">
            <w:pPr>
              <w:spacing w:line="360" w:lineRule="exact"/>
              <w:jc w:val="center"/>
              <w:rPr>
                <w:rFonts w:ascii="仿宋" w:hAnsi="仿宋" w:cs="仿宋"/>
                <w:bCs/>
                <w:color w:val="auto"/>
                <w:highlight w:val="none"/>
              </w:rPr>
            </w:pPr>
            <w:r>
              <w:rPr>
                <w:rFonts w:hint="eastAsia" w:ascii="仿宋" w:hAnsi="仿宋" w:cs="仿宋"/>
                <w:bCs/>
                <w:color w:val="auto"/>
                <w:highlight w:val="none"/>
              </w:rPr>
              <w:t>20分</w:t>
            </w:r>
          </w:p>
        </w:tc>
      </w:tr>
      <w:tr w14:paraId="5249B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788" w:type="dxa"/>
            <w:tcBorders>
              <w:top w:val="single" w:color="auto" w:sz="4" w:space="0"/>
              <w:bottom w:val="single" w:color="auto" w:sz="4" w:space="0"/>
              <w:right w:val="single" w:color="auto" w:sz="4" w:space="0"/>
            </w:tcBorders>
            <w:vAlign w:val="center"/>
          </w:tcPr>
          <w:p w14:paraId="5BB3E11E">
            <w:pPr>
              <w:spacing w:line="360" w:lineRule="exact"/>
              <w:jc w:val="center"/>
              <w:rPr>
                <w:rFonts w:ascii="仿宋" w:hAnsi="仿宋" w:eastAsia="仿宋" w:cs="仿宋"/>
                <w:color w:val="auto"/>
                <w:highlight w:val="none"/>
              </w:rPr>
            </w:pPr>
            <w:r>
              <w:rPr>
                <w:rFonts w:hint="eastAsia" w:ascii="仿宋" w:hAnsi="仿宋" w:cs="仿宋"/>
                <w:color w:val="auto"/>
                <w:highlight w:val="none"/>
              </w:rPr>
              <w:t>4</w:t>
            </w:r>
          </w:p>
        </w:tc>
        <w:tc>
          <w:tcPr>
            <w:tcW w:w="1027" w:type="dxa"/>
            <w:tcBorders>
              <w:top w:val="single" w:color="auto" w:sz="4" w:space="0"/>
              <w:left w:val="single" w:color="auto" w:sz="4" w:space="0"/>
              <w:bottom w:val="single" w:color="auto" w:sz="4" w:space="0"/>
              <w:right w:val="single" w:color="auto" w:sz="4" w:space="0"/>
            </w:tcBorders>
            <w:vAlign w:val="center"/>
          </w:tcPr>
          <w:p w14:paraId="529AE5C1">
            <w:pPr>
              <w:spacing w:line="360" w:lineRule="exact"/>
              <w:jc w:val="center"/>
              <w:rPr>
                <w:rFonts w:ascii="仿宋" w:hAnsi="仿宋" w:cs="仿宋"/>
                <w:color w:val="auto"/>
                <w:highlight w:val="none"/>
              </w:rPr>
            </w:pPr>
            <w:r>
              <w:rPr>
                <w:rFonts w:ascii="仿宋" w:hAnsi="仿宋" w:cs="仿宋"/>
                <w:color w:val="auto"/>
                <w:highlight w:val="none"/>
              </w:rPr>
              <w:t>人员</w:t>
            </w:r>
          </w:p>
          <w:p w14:paraId="40658C14">
            <w:pPr>
              <w:spacing w:line="360" w:lineRule="exact"/>
              <w:jc w:val="center"/>
              <w:rPr>
                <w:rFonts w:ascii="仿宋" w:hAnsi="仿宋" w:cs="仿宋"/>
                <w:color w:val="auto"/>
                <w:highlight w:val="none"/>
              </w:rPr>
            </w:pPr>
            <w:r>
              <w:rPr>
                <w:rFonts w:ascii="仿宋" w:hAnsi="仿宋" w:cs="仿宋"/>
                <w:color w:val="auto"/>
                <w:highlight w:val="none"/>
              </w:rPr>
              <w:t>配备</w:t>
            </w:r>
          </w:p>
        </w:tc>
        <w:tc>
          <w:tcPr>
            <w:tcW w:w="6462" w:type="dxa"/>
            <w:gridSpan w:val="2"/>
            <w:tcBorders>
              <w:top w:val="single" w:color="auto" w:sz="4" w:space="0"/>
              <w:left w:val="single" w:color="auto" w:sz="4" w:space="0"/>
              <w:bottom w:val="single" w:color="auto" w:sz="4" w:space="0"/>
              <w:right w:val="single" w:color="auto" w:sz="4" w:space="0"/>
            </w:tcBorders>
            <w:vAlign w:val="center"/>
          </w:tcPr>
          <w:p w14:paraId="55E2E52E">
            <w:pPr>
              <w:widowControl/>
              <w:snapToGrid w:val="0"/>
              <w:spacing w:line="460" w:lineRule="exact"/>
              <w:jc w:val="left"/>
              <w:rPr>
                <w:rFonts w:hint="eastAsia" w:ascii="仿宋" w:hAnsi="仿宋" w:cs="仿宋"/>
                <w:color w:val="auto"/>
                <w:highlight w:val="none"/>
              </w:rPr>
            </w:pPr>
            <w:r>
              <w:rPr>
                <w:rFonts w:hint="eastAsia" w:ascii="仿宋" w:hAnsi="仿宋" w:cs="仿宋"/>
                <w:color w:val="auto"/>
                <w:highlight w:val="none"/>
              </w:rPr>
              <w:t>投标人为本项目配备的服务人员熟悉互联网信息服务相关工作，其中</w:t>
            </w:r>
          </w:p>
          <w:p w14:paraId="3AB49044">
            <w:pPr>
              <w:widowControl/>
              <w:snapToGrid w:val="0"/>
              <w:spacing w:line="460" w:lineRule="exact"/>
              <w:jc w:val="left"/>
              <w:rPr>
                <w:rFonts w:hint="eastAsia" w:ascii="仿宋" w:hAnsi="仿宋" w:cs="仿宋"/>
                <w:color w:val="auto"/>
                <w:highlight w:val="none"/>
                <w:lang w:val="en-US" w:eastAsia="zh-CN"/>
              </w:rPr>
            </w:pPr>
            <w:r>
              <w:rPr>
                <w:rFonts w:hint="eastAsia" w:ascii="仿宋" w:hAnsi="仿宋" w:cs="仿宋"/>
                <w:color w:val="auto"/>
                <w:highlight w:val="none"/>
                <w:lang w:val="en-US" w:eastAsia="zh-CN"/>
              </w:rPr>
              <w:t>（1）项目团队成员具有信息技术中级职称得1分，具有信息技术高级职称得2分，最高4分，无不得分，成员为同一人的按最高职称计分；</w:t>
            </w:r>
          </w:p>
          <w:p w14:paraId="3A029488">
            <w:pPr>
              <w:widowControl/>
              <w:snapToGrid w:val="0"/>
              <w:spacing w:line="460" w:lineRule="exact"/>
              <w:jc w:val="left"/>
              <w:rPr>
                <w:rFonts w:hint="eastAsia" w:ascii="仿宋" w:hAnsi="仿宋" w:cs="仿宋"/>
                <w:color w:val="auto"/>
                <w:highlight w:val="none"/>
                <w:lang w:val="en-US" w:eastAsia="zh-CN"/>
              </w:rPr>
            </w:pPr>
            <w:r>
              <w:rPr>
                <w:rFonts w:hint="eastAsia" w:ascii="仿宋" w:hAnsi="仿宋" w:cs="仿宋"/>
                <w:color w:val="auto"/>
                <w:highlight w:val="none"/>
                <w:lang w:val="en-US" w:eastAsia="zh-CN"/>
              </w:rPr>
              <w:t>（2）项目团队成员具有注册信息安全工程师（CISP）证书、注册数据安全治理专业人员（CISP-DSG）证书、注册信息安全意识官证书（CSAO）、注册数据安全官证书（CDSO）、个人信息保护专业人员（CCRC）证书、注册数据隐私安全专家（CDPSE）证书的，每个得2分，最高得6分，同一成员有多个证书的按1个计算，无不得分；</w:t>
            </w:r>
          </w:p>
          <w:p w14:paraId="0F962C57">
            <w:pPr>
              <w:widowControl/>
              <w:snapToGrid w:val="0"/>
              <w:spacing w:line="460" w:lineRule="exact"/>
              <w:jc w:val="left"/>
              <w:rPr>
                <w:rFonts w:ascii="仿宋" w:hAnsi="仿宋"/>
                <w:color w:val="auto"/>
                <w:highlight w:val="none"/>
                <w:lang w:bidi="ar"/>
              </w:rPr>
            </w:pPr>
            <w:r>
              <w:rPr>
                <w:rFonts w:hint="eastAsia" w:ascii="仿宋" w:hAnsi="仿宋" w:cs="宋体"/>
                <w:b/>
                <w:bCs/>
                <w:color w:val="auto"/>
                <w:kern w:val="0"/>
                <w:highlight w:val="none"/>
                <w:u w:val="single"/>
                <w:lang w:val="zh-CN" w:bidi="ar"/>
              </w:rPr>
              <w:t>以上人员需提供</w:t>
            </w:r>
            <w:r>
              <w:rPr>
                <w:rFonts w:hint="eastAsia" w:ascii="仿宋" w:hAnsi="仿宋" w:cs="宋体"/>
                <w:b/>
                <w:bCs/>
                <w:color w:val="auto"/>
                <w:kern w:val="0"/>
                <w:highlight w:val="none"/>
                <w:u w:val="single"/>
                <w:lang w:bidi="ar"/>
              </w:rPr>
              <w:t>最近</w:t>
            </w:r>
            <w:r>
              <w:rPr>
                <w:rFonts w:hint="eastAsia" w:ascii="仿宋" w:hAnsi="仿宋" w:cs="宋体"/>
                <w:b/>
                <w:bCs/>
                <w:color w:val="auto"/>
                <w:kern w:val="0"/>
                <w:highlight w:val="none"/>
                <w:u w:val="single"/>
                <w:lang w:val="en-US" w:eastAsia="zh-CN" w:bidi="ar"/>
              </w:rPr>
              <w:t>3</w:t>
            </w:r>
            <w:r>
              <w:rPr>
                <w:rFonts w:hint="eastAsia" w:ascii="仿宋" w:hAnsi="仿宋" w:cs="宋体"/>
                <w:b/>
                <w:bCs/>
                <w:color w:val="auto"/>
                <w:kern w:val="0"/>
                <w:highlight w:val="none"/>
                <w:u w:val="single"/>
                <w:lang w:val="zh-CN" w:bidi="ar"/>
              </w:rPr>
              <w:t>个月社保缴纳证明及相关证书复印件加盖公章。不提供社保证明材料不得分。</w:t>
            </w:r>
          </w:p>
        </w:tc>
        <w:tc>
          <w:tcPr>
            <w:tcW w:w="1009" w:type="dxa"/>
            <w:tcBorders>
              <w:top w:val="single" w:color="auto" w:sz="4" w:space="0"/>
              <w:left w:val="single" w:color="auto" w:sz="4" w:space="0"/>
              <w:bottom w:val="single" w:color="auto" w:sz="4" w:space="0"/>
            </w:tcBorders>
            <w:vAlign w:val="center"/>
          </w:tcPr>
          <w:p w14:paraId="5AFDB443">
            <w:pPr>
              <w:spacing w:line="360" w:lineRule="exact"/>
              <w:jc w:val="center"/>
              <w:rPr>
                <w:rFonts w:ascii="仿宋" w:hAnsi="仿宋" w:cs="仿宋"/>
                <w:color w:val="auto"/>
                <w:highlight w:val="none"/>
              </w:rPr>
            </w:pPr>
            <w:r>
              <w:rPr>
                <w:rFonts w:hint="eastAsia" w:ascii="仿宋" w:hAnsi="仿宋" w:cs="仿宋"/>
                <w:color w:val="auto"/>
                <w:highlight w:val="none"/>
                <w:lang w:val="en-US" w:eastAsia="zh-CN"/>
              </w:rPr>
              <w:t>10</w:t>
            </w:r>
            <w:r>
              <w:rPr>
                <w:rFonts w:hint="eastAsia" w:ascii="仿宋" w:hAnsi="仿宋" w:cs="仿宋"/>
                <w:color w:val="auto"/>
                <w:highlight w:val="none"/>
              </w:rPr>
              <w:t>分</w:t>
            </w:r>
          </w:p>
        </w:tc>
      </w:tr>
      <w:tr w14:paraId="3BBF82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ign w:val="center"/>
          </w:tcPr>
          <w:p w14:paraId="2C3A4E48">
            <w:pPr>
              <w:spacing w:line="360" w:lineRule="exact"/>
              <w:jc w:val="center"/>
              <w:rPr>
                <w:rFonts w:ascii="仿宋" w:hAnsi="仿宋" w:eastAsia="仿宋" w:cs="仿宋"/>
                <w:color w:val="auto"/>
                <w:highlight w:val="none"/>
              </w:rPr>
            </w:pPr>
            <w:r>
              <w:rPr>
                <w:rFonts w:hint="eastAsia" w:ascii="仿宋" w:hAnsi="仿宋" w:cs="仿宋"/>
                <w:color w:val="auto"/>
                <w:highlight w:val="none"/>
              </w:rPr>
              <w:t>5</w:t>
            </w:r>
          </w:p>
        </w:tc>
        <w:tc>
          <w:tcPr>
            <w:tcW w:w="1027" w:type="dxa"/>
            <w:tcBorders>
              <w:top w:val="single" w:color="auto" w:sz="4" w:space="0"/>
              <w:left w:val="single" w:color="auto" w:sz="4" w:space="0"/>
              <w:bottom w:val="single" w:color="auto" w:sz="4" w:space="0"/>
              <w:right w:val="single" w:color="auto" w:sz="4" w:space="0"/>
            </w:tcBorders>
            <w:noWrap/>
            <w:vAlign w:val="center"/>
          </w:tcPr>
          <w:p w14:paraId="1450EC34">
            <w:pPr>
              <w:spacing w:line="360" w:lineRule="exact"/>
              <w:jc w:val="center"/>
              <w:rPr>
                <w:rFonts w:ascii="仿宋" w:hAnsi="仿宋" w:cs="仿宋"/>
                <w:color w:val="auto"/>
                <w:highlight w:val="none"/>
              </w:rPr>
            </w:pPr>
            <w:r>
              <w:rPr>
                <w:rFonts w:ascii="仿宋" w:hAnsi="仿宋" w:cs="仿宋"/>
                <w:color w:val="auto"/>
                <w:highlight w:val="none"/>
              </w:rPr>
              <w:t>培训实施计划</w:t>
            </w:r>
          </w:p>
        </w:tc>
        <w:tc>
          <w:tcPr>
            <w:tcW w:w="6462" w:type="dxa"/>
            <w:gridSpan w:val="2"/>
            <w:tcBorders>
              <w:top w:val="single" w:color="auto" w:sz="4" w:space="0"/>
              <w:left w:val="single" w:color="auto" w:sz="4" w:space="0"/>
              <w:bottom w:val="single" w:color="auto" w:sz="4" w:space="0"/>
              <w:right w:val="single" w:color="auto" w:sz="4" w:space="0"/>
            </w:tcBorders>
            <w:noWrap/>
            <w:vAlign w:val="center"/>
          </w:tcPr>
          <w:p w14:paraId="1DC9A931">
            <w:pPr>
              <w:widowControl/>
              <w:snapToGrid w:val="0"/>
              <w:spacing w:line="460" w:lineRule="exact"/>
              <w:jc w:val="left"/>
              <w:rPr>
                <w:rFonts w:hint="eastAsia" w:ascii="仿宋" w:hAnsi="仿宋" w:cs="仿宋"/>
                <w:color w:val="auto"/>
                <w:highlight w:val="none"/>
                <w:lang w:val="en-US" w:eastAsia="zh-CN"/>
              </w:rPr>
            </w:pPr>
            <w:r>
              <w:rPr>
                <w:rFonts w:hint="eastAsia" w:ascii="仿宋" w:hAnsi="仿宋" w:cs="仿宋"/>
                <w:color w:val="auto"/>
                <w:highlight w:val="none"/>
                <w:lang w:val="en-US" w:eastAsia="zh-CN"/>
              </w:rPr>
              <w:t>（1）投标人提供的培训方案，包括岗前培训和在岗培训，培训方案完善且有针对性，培训内容包含（使用、日常维护、管理）等培训，有详细的年度培训计划和方案的得6分，方案不全面或缺少可行性的酌情扣分。</w:t>
            </w:r>
          </w:p>
          <w:p w14:paraId="255D953A">
            <w:pPr>
              <w:widowControl/>
              <w:snapToGrid w:val="0"/>
              <w:spacing w:line="460" w:lineRule="exact"/>
              <w:jc w:val="left"/>
              <w:rPr>
                <w:rFonts w:hint="default" w:ascii="仿宋" w:hAnsi="仿宋" w:cs="仿宋"/>
                <w:color w:val="auto"/>
                <w:highlight w:val="none"/>
                <w:lang w:val="en-US" w:eastAsia="zh-CN"/>
              </w:rPr>
            </w:pPr>
            <w:r>
              <w:rPr>
                <w:rFonts w:hint="eastAsia" w:ascii="仿宋" w:hAnsi="仿宋" w:cs="仿宋"/>
                <w:color w:val="auto"/>
                <w:highlight w:val="none"/>
                <w:lang w:val="en-US" w:eastAsia="zh-CN"/>
              </w:rPr>
              <w:t>（2）培训讲师具有中国信息安全测评中心颁发的国家信息安全水平考试培训讲师得2分，不提供不得分。</w:t>
            </w:r>
          </w:p>
          <w:p w14:paraId="054A669B">
            <w:pPr>
              <w:pStyle w:val="8"/>
              <w:rPr>
                <w:rFonts w:hint="eastAsia" w:ascii="仿宋" w:hAnsi="仿宋" w:eastAsia="宋体" w:cs="宋体"/>
                <w:b/>
                <w:bCs/>
                <w:color w:val="auto"/>
                <w:kern w:val="0"/>
                <w:sz w:val="21"/>
                <w:szCs w:val="24"/>
                <w:highlight w:val="none"/>
                <w:u w:val="single"/>
                <w:lang w:val="en-US" w:eastAsia="zh-CN" w:bidi="ar"/>
              </w:rPr>
            </w:pPr>
            <w:r>
              <w:rPr>
                <w:rFonts w:hint="eastAsia" w:ascii="仿宋" w:hAnsi="仿宋" w:eastAsia="宋体" w:cs="宋体"/>
                <w:b/>
                <w:bCs/>
                <w:color w:val="auto"/>
                <w:kern w:val="0"/>
                <w:sz w:val="21"/>
                <w:szCs w:val="24"/>
                <w:highlight w:val="none"/>
                <w:u w:val="single"/>
                <w:lang w:val="en-US" w:eastAsia="zh-CN" w:bidi="ar"/>
              </w:rPr>
              <w:t>注：需提供本单位为其缴纳的近3个月社保证明。复印件加盖投标人单位公章，未提供不得分。</w:t>
            </w:r>
          </w:p>
          <w:p w14:paraId="363D0B8C">
            <w:pPr>
              <w:pStyle w:val="8"/>
              <w:rPr>
                <w:rFonts w:ascii="仿宋" w:hAnsi="仿宋"/>
                <w:color w:val="auto"/>
                <w:highlight w:val="none"/>
                <w:u w:val="single"/>
                <w:lang w:bidi="ar"/>
              </w:rPr>
            </w:pPr>
            <w:r>
              <w:rPr>
                <w:rFonts w:hint="eastAsia" w:ascii="仿宋" w:hAnsi="仿宋" w:eastAsia="宋体" w:cs="宋体"/>
                <w:b/>
                <w:bCs/>
                <w:color w:val="auto"/>
                <w:kern w:val="0"/>
                <w:sz w:val="21"/>
                <w:szCs w:val="24"/>
                <w:highlight w:val="none"/>
                <w:u w:val="single"/>
                <w:lang w:val="zh-CN" w:eastAsia="zh-CN" w:bidi="ar"/>
              </w:rPr>
              <w:t>以上方案不提供不得分。</w:t>
            </w:r>
          </w:p>
        </w:tc>
        <w:tc>
          <w:tcPr>
            <w:tcW w:w="1009" w:type="dxa"/>
            <w:tcBorders>
              <w:top w:val="single" w:color="auto" w:sz="4" w:space="0"/>
              <w:left w:val="single" w:color="auto" w:sz="4" w:space="0"/>
              <w:bottom w:val="single" w:color="auto" w:sz="4" w:space="0"/>
              <w:right w:val="single" w:color="auto" w:sz="4" w:space="0"/>
            </w:tcBorders>
            <w:noWrap/>
            <w:vAlign w:val="center"/>
          </w:tcPr>
          <w:p w14:paraId="6F7CB09D">
            <w:pPr>
              <w:spacing w:line="360" w:lineRule="exact"/>
              <w:jc w:val="center"/>
              <w:rPr>
                <w:rFonts w:ascii="仿宋" w:hAnsi="仿宋" w:cs="仿宋"/>
                <w:color w:val="auto"/>
                <w:highlight w:val="none"/>
              </w:rPr>
            </w:pPr>
            <w:r>
              <w:rPr>
                <w:rFonts w:hint="eastAsia" w:ascii="仿宋" w:hAnsi="仿宋" w:cs="仿宋"/>
                <w:color w:val="auto"/>
                <w:highlight w:val="none"/>
                <w:lang w:val="en-US" w:eastAsia="zh-CN"/>
              </w:rPr>
              <w:t>8</w:t>
            </w:r>
            <w:r>
              <w:rPr>
                <w:rFonts w:hint="eastAsia" w:ascii="仿宋" w:hAnsi="仿宋" w:cs="仿宋"/>
                <w:color w:val="auto"/>
                <w:highlight w:val="none"/>
              </w:rPr>
              <w:t>分</w:t>
            </w:r>
          </w:p>
        </w:tc>
      </w:tr>
      <w:tr w14:paraId="2A97D4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right w:val="single" w:color="auto" w:sz="4" w:space="0"/>
            </w:tcBorders>
            <w:noWrap/>
            <w:vAlign w:val="center"/>
          </w:tcPr>
          <w:p w14:paraId="006C7540">
            <w:pPr>
              <w:spacing w:line="360" w:lineRule="exact"/>
              <w:jc w:val="center"/>
              <w:rPr>
                <w:rFonts w:ascii="仿宋" w:hAnsi="仿宋" w:eastAsia="仿宋" w:cs="仿宋"/>
                <w:color w:val="auto"/>
                <w:highlight w:val="none"/>
              </w:rPr>
            </w:pPr>
            <w:r>
              <w:rPr>
                <w:rFonts w:hint="eastAsia" w:ascii="仿宋" w:hAnsi="仿宋" w:cs="仿宋"/>
                <w:color w:val="auto"/>
                <w:highlight w:val="none"/>
              </w:rPr>
              <w:t>6</w:t>
            </w:r>
          </w:p>
        </w:tc>
        <w:tc>
          <w:tcPr>
            <w:tcW w:w="1027" w:type="dxa"/>
            <w:tcBorders>
              <w:top w:val="single" w:color="auto" w:sz="4" w:space="0"/>
              <w:left w:val="single" w:color="auto" w:sz="4" w:space="0"/>
              <w:right w:val="single" w:color="auto" w:sz="4" w:space="0"/>
            </w:tcBorders>
            <w:noWrap/>
            <w:vAlign w:val="center"/>
          </w:tcPr>
          <w:p w14:paraId="7FC61965">
            <w:pPr>
              <w:spacing w:line="360" w:lineRule="exact"/>
              <w:jc w:val="center"/>
              <w:rPr>
                <w:rFonts w:ascii="仿宋" w:hAnsi="仿宋" w:cs="仿宋"/>
                <w:color w:val="auto"/>
                <w:highlight w:val="none"/>
              </w:rPr>
            </w:pPr>
            <w:r>
              <w:rPr>
                <w:rFonts w:ascii="仿宋" w:hAnsi="仿宋" w:cs="仿宋"/>
                <w:color w:val="auto"/>
                <w:highlight w:val="none"/>
              </w:rPr>
              <w:t>售后服务方案</w:t>
            </w:r>
          </w:p>
        </w:tc>
        <w:tc>
          <w:tcPr>
            <w:tcW w:w="6462" w:type="dxa"/>
            <w:gridSpan w:val="2"/>
            <w:tcBorders>
              <w:top w:val="single" w:color="auto" w:sz="4" w:space="0"/>
              <w:left w:val="single" w:color="auto" w:sz="4" w:space="0"/>
              <w:right w:val="single" w:color="auto" w:sz="4" w:space="0"/>
            </w:tcBorders>
            <w:noWrap/>
            <w:vAlign w:val="center"/>
          </w:tcPr>
          <w:p w14:paraId="205682AF">
            <w:pPr>
              <w:rPr>
                <w:rFonts w:ascii="仿宋" w:hAnsi="仿宋" w:cs="仿宋"/>
                <w:color w:val="auto"/>
                <w:highlight w:val="none"/>
              </w:rPr>
            </w:pPr>
            <w:r>
              <w:rPr>
                <w:rFonts w:hint="eastAsia" w:ascii="仿宋" w:hAnsi="仿宋" w:cs="仿宋"/>
                <w:color w:val="auto"/>
                <w:highlight w:val="none"/>
                <w:lang w:val="en-US" w:eastAsia="zh-CN"/>
              </w:rPr>
              <w:t>1、</w:t>
            </w:r>
            <w:r>
              <w:rPr>
                <w:rFonts w:hint="eastAsia" w:ascii="仿宋" w:hAnsi="仿宋" w:eastAsia="宋体" w:cs="仿宋"/>
                <w:color w:val="auto"/>
                <w:highlight w:val="none"/>
              </w:rPr>
              <w:t>售后服务方案科学、合理，服务承诺、服务体系健全、</w:t>
            </w:r>
            <w:bookmarkStart w:id="19" w:name="OLE_LINK12"/>
            <w:r>
              <w:rPr>
                <w:rFonts w:hint="eastAsia" w:ascii="仿宋" w:hAnsi="仿宋" w:eastAsia="宋体" w:cs="仿宋"/>
                <w:color w:val="auto"/>
                <w:highlight w:val="none"/>
              </w:rPr>
              <w:t>在本地具有服务机构</w:t>
            </w:r>
            <w:r>
              <w:rPr>
                <w:rFonts w:hint="eastAsia" w:ascii="仿宋" w:hAnsi="仿宋" w:eastAsia="宋体" w:cs="仿宋"/>
                <w:color w:val="auto"/>
                <w:highlight w:val="none"/>
                <w:lang w:val="en-US" w:eastAsia="zh-Hans"/>
              </w:rPr>
              <w:t>或承诺中标后</w:t>
            </w:r>
            <w:r>
              <w:rPr>
                <w:rFonts w:hint="eastAsia" w:ascii="仿宋" w:hAnsi="仿宋" w:eastAsia="宋体" w:cs="仿宋"/>
                <w:color w:val="auto"/>
                <w:highlight w:val="none"/>
                <w:lang w:val="en-US" w:eastAsia="zh-CN"/>
              </w:rPr>
              <w:t>在本地提供售后服务单位</w:t>
            </w:r>
            <w:r>
              <w:rPr>
                <w:rFonts w:hint="eastAsia" w:ascii="仿宋" w:hAnsi="仿宋" w:eastAsia="宋体" w:cs="仿宋"/>
                <w:color w:val="auto"/>
                <w:highlight w:val="none"/>
              </w:rPr>
              <w:t>，得</w:t>
            </w:r>
            <w:r>
              <w:rPr>
                <w:rFonts w:hint="eastAsia" w:ascii="仿宋" w:hAnsi="仿宋" w:eastAsia="宋体" w:cs="仿宋"/>
                <w:color w:val="auto"/>
                <w:highlight w:val="none"/>
                <w:lang w:val="en-US" w:eastAsia="zh-CN"/>
              </w:rPr>
              <w:t>2</w:t>
            </w:r>
            <w:bookmarkEnd w:id="19"/>
            <w:r>
              <w:rPr>
                <w:rFonts w:hint="eastAsia" w:ascii="仿宋" w:hAnsi="仿宋" w:eastAsia="宋体" w:cs="仿宋"/>
                <w:color w:val="auto"/>
                <w:highlight w:val="none"/>
              </w:rPr>
              <w:t>分。</w:t>
            </w:r>
          </w:p>
          <w:p w14:paraId="582C1391">
            <w:pPr>
              <w:pStyle w:val="8"/>
              <w:numPr>
                <w:ilvl w:val="0"/>
                <w:numId w:val="0"/>
              </w:numPr>
              <w:spacing w:line="440" w:lineRule="exact"/>
              <w:rPr>
                <w:rFonts w:hint="default" w:ascii="仿宋" w:hAnsi="仿宋" w:eastAsia="宋体" w:cs="仿宋"/>
                <w:b w:val="0"/>
                <w:color w:val="auto"/>
                <w:kern w:val="2"/>
                <w:sz w:val="21"/>
                <w:szCs w:val="24"/>
                <w:highlight w:val="none"/>
                <w:lang w:val="en-US" w:eastAsia="zh-CN" w:bidi="ar-SA"/>
              </w:rPr>
            </w:pPr>
            <w:r>
              <w:rPr>
                <w:rFonts w:hint="eastAsia" w:ascii="仿宋" w:hAnsi="仿宋" w:eastAsia="宋体" w:cs="仿宋"/>
                <w:b w:val="0"/>
                <w:color w:val="auto"/>
                <w:kern w:val="2"/>
                <w:sz w:val="21"/>
                <w:szCs w:val="24"/>
                <w:highlight w:val="none"/>
                <w:lang w:val="en-US" w:eastAsia="zh-CN" w:bidi="ar-SA"/>
              </w:rPr>
              <w:t>2、售后服务方案全面周到,方案详细，可行性高得8分；方案准确较全面的得7分；方案完整，可行性一般的得6分；售后服务方案基本可行得5分；方案简单的3分；方案不全面或不完整的得1分，除文件规定内容外无其他售后服务承诺的，该项不得分；最高得8分 。</w:t>
            </w:r>
          </w:p>
          <w:p w14:paraId="610848D9">
            <w:pPr>
              <w:pStyle w:val="8"/>
              <w:rPr>
                <w:rFonts w:ascii="仿宋" w:hAnsi="仿宋" w:eastAsia="宋体" w:cs="宋体"/>
                <w:b w:val="0"/>
                <w:color w:val="auto"/>
                <w:sz w:val="21"/>
                <w:szCs w:val="24"/>
                <w:highlight w:val="none"/>
                <w:lang w:bidi="ar"/>
              </w:rPr>
            </w:pPr>
            <w:r>
              <w:rPr>
                <w:rFonts w:hint="eastAsia" w:ascii="仿宋" w:hAnsi="仿宋" w:eastAsia="宋体" w:cs="宋体"/>
                <w:bCs/>
                <w:color w:val="auto"/>
                <w:sz w:val="21"/>
                <w:szCs w:val="24"/>
                <w:highlight w:val="none"/>
                <w:u w:val="single"/>
                <w:lang w:bidi="ar"/>
              </w:rPr>
              <w:t>以上需提供相关证明材料及承诺函，不提供不得分，服务方案根据内容酌情打分。</w:t>
            </w:r>
          </w:p>
        </w:tc>
        <w:tc>
          <w:tcPr>
            <w:tcW w:w="1009" w:type="dxa"/>
            <w:tcBorders>
              <w:top w:val="single" w:color="auto" w:sz="4" w:space="0"/>
              <w:left w:val="single" w:color="auto" w:sz="4" w:space="0"/>
              <w:right w:val="single" w:color="auto" w:sz="4" w:space="0"/>
            </w:tcBorders>
            <w:noWrap/>
            <w:vAlign w:val="center"/>
          </w:tcPr>
          <w:p w14:paraId="78E97EE1">
            <w:pPr>
              <w:spacing w:line="360" w:lineRule="exact"/>
              <w:jc w:val="center"/>
              <w:rPr>
                <w:rFonts w:ascii="仿宋" w:hAnsi="仿宋" w:cs="仿宋"/>
                <w:color w:val="auto"/>
                <w:highlight w:val="none"/>
              </w:rPr>
            </w:pPr>
            <w:r>
              <w:rPr>
                <w:rFonts w:hint="eastAsia" w:ascii="仿宋" w:hAnsi="仿宋" w:cs="仿宋"/>
                <w:color w:val="auto"/>
                <w:highlight w:val="none"/>
              </w:rPr>
              <w:t>10分</w:t>
            </w:r>
          </w:p>
        </w:tc>
      </w:tr>
      <w:tr w14:paraId="20CCD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right w:val="single" w:color="auto" w:sz="4" w:space="0"/>
            </w:tcBorders>
            <w:noWrap/>
            <w:vAlign w:val="center"/>
          </w:tcPr>
          <w:p w14:paraId="1984D3EA">
            <w:pPr>
              <w:spacing w:line="360" w:lineRule="exact"/>
              <w:jc w:val="center"/>
              <w:rPr>
                <w:rFonts w:ascii="仿宋" w:hAnsi="仿宋" w:eastAsia="仿宋" w:cs="仿宋"/>
                <w:color w:val="auto"/>
                <w:highlight w:val="none"/>
              </w:rPr>
            </w:pPr>
            <w:r>
              <w:rPr>
                <w:rFonts w:hint="eastAsia" w:ascii="仿宋" w:hAnsi="仿宋" w:cs="仿宋"/>
                <w:color w:val="auto"/>
                <w:highlight w:val="none"/>
              </w:rPr>
              <w:t>7</w:t>
            </w:r>
          </w:p>
        </w:tc>
        <w:tc>
          <w:tcPr>
            <w:tcW w:w="1027" w:type="dxa"/>
            <w:tcBorders>
              <w:top w:val="single" w:color="auto" w:sz="4" w:space="0"/>
              <w:left w:val="single" w:color="auto" w:sz="4" w:space="0"/>
              <w:right w:val="single" w:color="auto" w:sz="4" w:space="0"/>
            </w:tcBorders>
            <w:noWrap/>
            <w:vAlign w:val="center"/>
          </w:tcPr>
          <w:p w14:paraId="5FD68C98">
            <w:pPr>
              <w:spacing w:line="360" w:lineRule="exact"/>
              <w:jc w:val="center"/>
              <w:rPr>
                <w:rFonts w:ascii="仿宋" w:hAnsi="仿宋" w:cs="仿宋"/>
                <w:color w:val="auto"/>
                <w:highlight w:val="none"/>
              </w:rPr>
            </w:pPr>
            <w:r>
              <w:rPr>
                <w:rFonts w:ascii="仿宋" w:hAnsi="仿宋" w:cs="仿宋"/>
                <w:color w:val="auto"/>
                <w:highlight w:val="none"/>
              </w:rPr>
              <w:t>服务响应时间</w:t>
            </w:r>
          </w:p>
        </w:tc>
        <w:tc>
          <w:tcPr>
            <w:tcW w:w="6462" w:type="dxa"/>
            <w:gridSpan w:val="2"/>
            <w:tcBorders>
              <w:top w:val="single" w:color="auto" w:sz="4" w:space="0"/>
              <w:left w:val="single" w:color="auto" w:sz="4" w:space="0"/>
              <w:right w:val="single" w:color="auto" w:sz="4" w:space="0"/>
            </w:tcBorders>
            <w:noWrap/>
            <w:vAlign w:val="center"/>
          </w:tcPr>
          <w:p w14:paraId="205E420E">
            <w:pPr>
              <w:widowControl/>
              <w:snapToGrid w:val="0"/>
              <w:spacing w:line="460" w:lineRule="exact"/>
              <w:jc w:val="left"/>
              <w:rPr>
                <w:rFonts w:ascii="仿宋" w:hAnsi="仿宋" w:cs="宋体"/>
                <w:color w:val="auto"/>
                <w:kern w:val="0"/>
                <w:sz w:val="21"/>
                <w:szCs w:val="21"/>
                <w:highlight w:val="none"/>
                <w:lang w:bidi="ar"/>
              </w:rPr>
            </w:pPr>
            <w:r>
              <w:rPr>
                <w:rFonts w:hint="eastAsia" w:ascii="仿宋" w:hAnsi="仿宋" w:cs="宋体"/>
                <w:color w:val="auto"/>
                <w:kern w:val="0"/>
                <w:sz w:val="21"/>
                <w:szCs w:val="21"/>
                <w:highlight w:val="none"/>
                <w:lang w:bidi="ar"/>
              </w:rPr>
              <w:t>接到采购人通知后</w:t>
            </w:r>
            <w:r>
              <w:rPr>
                <w:rFonts w:hint="eastAsia" w:ascii="仿宋" w:hAnsi="仿宋" w:cs="宋体"/>
                <w:color w:val="auto"/>
                <w:kern w:val="0"/>
                <w:sz w:val="21"/>
                <w:szCs w:val="21"/>
                <w:highlight w:val="none"/>
                <w:lang w:val="en-US" w:eastAsia="zh-CN" w:bidi="ar"/>
              </w:rPr>
              <w:t>3</w:t>
            </w:r>
            <w:r>
              <w:rPr>
                <w:rFonts w:hint="eastAsia" w:ascii="仿宋" w:hAnsi="仿宋" w:eastAsia="宋体" w:cs="仿宋"/>
                <w:b w:val="0"/>
                <w:color w:val="auto"/>
                <w:kern w:val="2"/>
                <w:sz w:val="21"/>
                <w:szCs w:val="24"/>
                <w:highlight w:val="none"/>
                <w:lang w:val="en-US" w:eastAsia="zh-CN" w:bidi="ar-SA"/>
              </w:rPr>
              <w:t>小</w:t>
            </w:r>
            <w:r>
              <w:rPr>
                <w:rFonts w:hint="eastAsia" w:ascii="仿宋" w:hAnsi="仿宋" w:cs="宋体"/>
                <w:color w:val="auto"/>
                <w:kern w:val="0"/>
                <w:sz w:val="21"/>
                <w:szCs w:val="21"/>
                <w:highlight w:val="none"/>
                <w:lang w:bidi="ar"/>
              </w:rPr>
              <w:t>时内需响应服务，每减少0.5小时加 1分，最高加</w:t>
            </w:r>
            <w:r>
              <w:rPr>
                <w:rFonts w:hint="eastAsia" w:ascii="仿宋" w:hAnsi="仿宋" w:cs="宋体"/>
                <w:color w:val="auto"/>
                <w:kern w:val="0"/>
                <w:sz w:val="21"/>
                <w:szCs w:val="21"/>
                <w:highlight w:val="none"/>
                <w:lang w:val="en-US" w:eastAsia="zh-CN" w:bidi="ar"/>
              </w:rPr>
              <w:t>5</w:t>
            </w:r>
            <w:r>
              <w:rPr>
                <w:rFonts w:hint="eastAsia" w:ascii="仿宋" w:hAnsi="仿宋" w:cs="宋体"/>
                <w:color w:val="auto"/>
                <w:kern w:val="0"/>
                <w:sz w:val="21"/>
                <w:szCs w:val="21"/>
                <w:highlight w:val="none"/>
                <w:lang w:bidi="ar"/>
              </w:rPr>
              <w:t>分。</w:t>
            </w:r>
          </w:p>
          <w:p w14:paraId="24B5676C">
            <w:pPr>
              <w:pStyle w:val="8"/>
              <w:rPr>
                <w:rFonts w:ascii="仿宋" w:hAnsi="仿宋" w:eastAsia="宋体"/>
                <w:color w:val="auto"/>
                <w:sz w:val="21"/>
                <w:szCs w:val="21"/>
                <w:highlight w:val="none"/>
                <w:lang w:bidi="ar"/>
              </w:rPr>
            </w:pPr>
            <w:r>
              <w:rPr>
                <w:rFonts w:hint="eastAsia" w:ascii="仿宋" w:hAnsi="仿宋" w:eastAsia="宋体" w:cs="宋体"/>
                <w:bCs/>
                <w:color w:val="auto"/>
                <w:sz w:val="21"/>
                <w:szCs w:val="21"/>
                <w:highlight w:val="none"/>
                <w:u w:val="single"/>
                <w:lang w:bidi="ar"/>
              </w:rPr>
              <w:t>需提供响应时间承诺及服务点</w:t>
            </w:r>
            <w:r>
              <w:rPr>
                <w:rFonts w:hint="eastAsia" w:ascii="仿宋" w:hAnsi="仿宋" w:eastAsia="宋体" w:cs="宋体"/>
                <w:bCs/>
                <w:color w:val="auto"/>
                <w:sz w:val="21"/>
                <w:szCs w:val="21"/>
                <w:highlight w:val="none"/>
                <w:u w:val="single"/>
                <w:lang w:val="en-US" w:eastAsia="zh-CN" w:bidi="ar"/>
              </w:rPr>
              <w:t>与学校距离的截图</w:t>
            </w:r>
            <w:r>
              <w:rPr>
                <w:rFonts w:hint="eastAsia" w:ascii="仿宋" w:hAnsi="仿宋" w:eastAsia="宋体" w:cs="宋体"/>
                <w:bCs/>
                <w:color w:val="auto"/>
                <w:sz w:val="21"/>
                <w:szCs w:val="21"/>
                <w:highlight w:val="none"/>
                <w:u w:val="single"/>
                <w:lang w:bidi="ar"/>
              </w:rPr>
              <w:t>。</w:t>
            </w:r>
          </w:p>
        </w:tc>
        <w:tc>
          <w:tcPr>
            <w:tcW w:w="1009" w:type="dxa"/>
            <w:tcBorders>
              <w:top w:val="single" w:color="auto" w:sz="4" w:space="0"/>
              <w:left w:val="single" w:color="auto" w:sz="4" w:space="0"/>
              <w:right w:val="single" w:color="auto" w:sz="4" w:space="0"/>
            </w:tcBorders>
            <w:noWrap/>
            <w:vAlign w:val="center"/>
          </w:tcPr>
          <w:p w14:paraId="1DB0272C">
            <w:pPr>
              <w:spacing w:line="360" w:lineRule="exact"/>
              <w:jc w:val="center"/>
              <w:rPr>
                <w:rFonts w:ascii="仿宋" w:hAnsi="仿宋" w:cs="仿宋"/>
                <w:color w:val="auto"/>
                <w:highlight w:val="none"/>
              </w:rPr>
            </w:pPr>
            <w:r>
              <w:rPr>
                <w:rFonts w:hint="eastAsia" w:ascii="仿宋" w:hAnsi="仿宋" w:cs="仿宋"/>
                <w:color w:val="auto"/>
                <w:highlight w:val="none"/>
                <w:lang w:val="en-US" w:eastAsia="zh-CN"/>
              </w:rPr>
              <w:t>5</w:t>
            </w:r>
            <w:r>
              <w:rPr>
                <w:rFonts w:hint="eastAsia" w:ascii="仿宋" w:hAnsi="仿宋" w:cs="仿宋"/>
                <w:color w:val="auto"/>
                <w:highlight w:val="none"/>
              </w:rPr>
              <w:t>分</w:t>
            </w:r>
          </w:p>
        </w:tc>
      </w:tr>
      <w:tr w14:paraId="26775D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ign w:val="center"/>
          </w:tcPr>
          <w:p w14:paraId="59550584">
            <w:pPr>
              <w:spacing w:line="360" w:lineRule="exact"/>
              <w:jc w:val="center"/>
              <w:rPr>
                <w:rFonts w:ascii="仿宋" w:hAnsi="仿宋" w:eastAsia="仿宋" w:cs="仿宋"/>
                <w:color w:val="auto"/>
                <w:highlight w:val="none"/>
              </w:rPr>
            </w:pPr>
            <w:r>
              <w:rPr>
                <w:rFonts w:hint="eastAsia" w:ascii="仿宋" w:hAnsi="仿宋" w:cs="仿宋"/>
                <w:color w:val="auto"/>
                <w:highlight w:val="none"/>
              </w:rPr>
              <w:t>8</w:t>
            </w:r>
          </w:p>
        </w:tc>
        <w:tc>
          <w:tcPr>
            <w:tcW w:w="1041" w:type="dxa"/>
            <w:gridSpan w:val="2"/>
            <w:tcBorders>
              <w:top w:val="single" w:color="auto" w:sz="4" w:space="0"/>
              <w:left w:val="single" w:color="auto" w:sz="4" w:space="0"/>
              <w:right w:val="single" w:color="auto" w:sz="4" w:space="0"/>
            </w:tcBorders>
            <w:noWrap/>
            <w:vAlign w:val="center"/>
          </w:tcPr>
          <w:p w14:paraId="2E154EFF">
            <w:pPr>
              <w:spacing w:line="360" w:lineRule="exact"/>
              <w:jc w:val="center"/>
              <w:rPr>
                <w:rFonts w:ascii="仿宋" w:hAnsi="仿宋" w:cs="仿宋"/>
                <w:color w:val="auto"/>
                <w:sz w:val="21"/>
                <w:szCs w:val="21"/>
                <w:highlight w:val="none"/>
              </w:rPr>
            </w:pPr>
            <w:r>
              <w:rPr>
                <w:rFonts w:hint="eastAsia" w:ascii="仿宋" w:hAnsi="仿宋" w:cs="仿宋"/>
                <w:color w:val="auto"/>
                <w:sz w:val="21"/>
                <w:szCs w:val="21"/>
                <w:highlight w:val="none"/>
              </w:rPr>
              <w:t>企业</w:t>
            </w:r>
          </w:p>
          <w:p w14:paraId="3DDDF429">
            <w:pPr>
              <w:spacing w:line="360" w:lineRule="exact"/>
              <w:jc w:val="center"/>
              <w:rPr>
                <w:rFonts w:ascii="仿宋" w:hAnsi="仿宋" w:cs="宋体"/>
                <w:b/>
                <w:color w:val="auto"/>
                <w:sz w:val="21"/>
                <w:szCs w:val="21"/>
                <w:highlight w:val="none"/>
                <w:u w:val="single"/>
              </w:rPr>
            </w:pPr>
            <w:r>
              <w:rPr>
                <w:rFonts w:hint="eastAsia" w:ascii="仿宋" w:hAnsi="仿宋" w:cs="仿宋"/>
                <w:color w:val="auto"/>
                <w:sz w:val="21"/>
                <w:szCs w:val="21"/>
                <w:highlight w:val="none"/>
              </w:rPr>
              <w:t>实力</w:t>
            </w:r>
          </w:p>
        </w:tc>
        <w:tc>
          <w:tcPr>
            <w:tcW w:w="6448" w:type="dxa"/>
            <w:tcBorders>
              <w:top w:val="single" w:color="auto" w:sz="4" w:space="0"/>
              <w:left w:val="single" w:color="auto" w:sz="4" w:space="0"/>
              <w:bottom w:val="single" w:color="auto" w:sz="4" w:space="0"/>
              <w:right w:val="single" w:color="auto" w:sz="4" w:space="0"/>
            </w:tcBorders>
            <w:noWrap/>
            <w:vAlign w:val="center"/>
          </w:tcPr>
          <w:p w14:paraId="1A0A02A2">
            <w:pPr>
              <w:tabs>
                <w:tab w:val="left" w:pos="1080"/>
              </w:tabs>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根据投标人提供的政府行政职能部门或行业主管部门授予的投标企业荣誉证书（复印件并加盖投标人公章）进行评分：</w:t>
            </w:r>
          </w:p>
          <w:p w14:paraId="0B38F77D">
            <w:pPr>
              <w:tabs>
                <w:tab w:val="left" w:pos="1080"/>
              </w:tabs>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国家级，包含国务院所属的部、委、办、局授予的荣誉得3分；</w:t>
            </w:r>
          </w:p>
          <w:p w14:paraId="32A0A559">
            <w:pPr>
              <w:tabs>
                <w:tab w:val="left" w:pos="1080"/>
              </w:tabs>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省级，包含省政府所属的部、委、办、局（厅）授予的荣誉得2分；</w:t>
            </w:r>
          </w:p>
          <w:p w14:paraId="13636681">
            <w:pPr>
              <w:tabs>
                <w:tab w:val="left" w:pos="1080"/>
              </w:tabs>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市级，包含市政府所属的部、委、办、局或区、县政府授予的荣誉得1分；</w:t>
            </w:r>
          </w:p>
          <w:p w14:paraId="0CAB3319">
            <w:pPr>
              <w:tabs>
                <w:tab w:val="left" w:pos="1080"/>
              </w:tabs>
              <w:spacing w:line="4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同一荣誉</w:t>
            </w:r>
            <w:r>
              <w:rPr>
                <w:rFonts w:hint="eastAsia" w:ascii="宋体" w:hAnsi="宋体" w:eastAsia="宋体" w:cs="宋体"/>
                <w:color w:val="auto"/>
                <w:sz w:val="21"/>
                <w:szCs w:val="21"/>
                <w:highlight w:val="none"/>
              </w:rPr>
              <w:t>以最高</w:t>
            </w:r>
            <w:r>
              <w:rPr>
                <w:rFonts w:hint="eastAsia" w:ascii="宋体" w:hAnsi="宋体" w:cs="宋体"/>
                <w:color w:val="auto"/>
                <w:sz w:val="21"/>
                <w:szCs w:val="21"/>
                <w:highlight w:val="none"/>
                <w:lang w:val="en-US" w:eastAsia="zh-CN"/>
              </w:rPr>
              <w:t>级别</w:t>
            </w:r>
            <w:r>
              <w:rPr>
                <w:rFonts w:hint="eastAsia" w:ascii="宋体" w:hAnsi="宋体" w:eastAsia="宋体" w:cs="宋体"/>
                <w:color w:val="auto"/>
                <w:sz w:val="21"/>
                <w:szCs w:val="21"/>
                <w:highlight w:val="none"/>
              </w:rPr>
              <w:t>计分，不得累计加分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最高得6分</w:t>
            </w:r>
            <w:r>
              <w:rPr>
                <w:rFonts w:hint="eastAsia" w:ascii="宋体" w:hAnsi="宋体" w:eastAsia="宋体" w:cs="宋体"/>
                <w:color w:val="auto"/>
                <w:sz w:val="21"/>
                <w:szCs w:val="21"/>
                <w:highlight w:val="none"/>
              </w:rPr>
              <w:t>）</w:t>
            </w:r>
          </w:p>
          <w:p w14:paraId="0227991C">
            <w:pPr>
              <w:rPr>
                <w:rFonts w:ascii="仿宋" w:hAnsi="仿宋" w:cs="宋体"/>
                <w:b/>
                <w:color w:val="auto"/>
                <w:sz w:val="21"/>
                <w:szCs w:val="21"/>
                <w:highlight w:val="none"/>
                <w:u w:val="single"/>
              </w:rPr>
            </w:pPr>
            <w:r>
              <w:rPr>
                <w:rFonts w:hint="eastAsia" w:ascii="宋体" w:hAnsi="宋体" w:eastAsia="宋体" w:cs="宋体"/>
                <w:b/>
                <w:bCs/>
                <w:color w:val="auto"/>
                <w:sz w:val="21"/>
                <w:szCs w:val="21"/>
                <w:highlight w:val="none"/>
                <w:u w:val="single"/>
                <w:lang w:val="en-US" w:eastAsia="zh-CN"/>
              </w:rPr>
              <w:t>注：提供证书复印件并加盖投标人公章或国家市场监督总局全国认证认可信息公共服务平台查询结果截图，以上证书未提供不得分。</w:t>
            </w:r>
          </w:p>
        </w:tc>
        <w:tc>
          <w:tcPr>
            <w:tcW w:w="1009" w:type="dxa"/>
            <w:tcBorders>
              <w:top w:val="single" w:color="auto" w:sz="4" w:space="0"/>
              <w:left w:val="single" w:color="auto" w:sz="4" w:space="0"/>
              <w:bottom w:val="single" w:color="auto" w:sz="4" w:space="0"/>
              <w:right w:val="single" w:color="auto" w:sz="4" w:space="0"/>
            </w:tcBorders>
            <w:noWrap/>
            <w:vAlign w:val="center"/>
          </w:tcPr>
          <w:p w14:paraId="7D04ACC0">
            <w:pPr>
              <w:spacing w:line="360" w:lineRule="exact"/>
              <w:jc w:val="center"/>
              <w:rPr>
                <w:rFonts w:ascii="仿宋" w:hAnsi="仿宋" w:cs="仿宋"/>
                <w:color w:val="auto"/>
                <w:highlight w:val="none"/>
              </w:rPr>
            </w:pPr>
            <w:r>
              <w:rPr>
                <w:rFonts w:hint="eastAsia" w:ascii="仿宋" w:hAnsi="仿宋" w:cs="仿宋"/>
                <w:color w:val="auto"/>
                <w:highlight w:val="none"/>
                <w:lang w:val="en-US" w:eastAsia="zh-CN"/>
              </w:rPr>
              <w:t>6</w:t>
            </w:r>
            <w:r>
              <w:rPr>
                <w:rFonts w:hint="eastAsia" w:ascii="仿宋" w:hAnsi="仿宋" w:cs="仿宋"/>
                <w:color w:val="auto"/>
                <w:highlight w:val="none"/>
              </w:rPr>
              <w:t>分</w:t>
            </w:r>
          </w:p>
        </w:tc>
      </w:tr>
      <w:tr w14:paraId="613F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88" w:type="dxa"/>
            <w:tcBorders>
              <w:top w:val="single" w:color="auto" w:sz="4" w:space="0"/>
              <w:left w:val="single" w:color="auto" w:sz="4" w:space="0"/>
              <w:bottom w:val="single" w:color="auto" w:sz="4" w:space="0"/>
              <w:right w:val="single" w:color="auto" w:sz="4" w:space="0"/>
            </w:tcBorders>
            <w:noWrap/>
            <w:vAlign w:val="center"/>
          </w:tcPr>
          <w:p w14:paraId="433051DF">
            <w:pPr>
              <w:spacing w:line="360" w:lineRule="exact"/>
              <w:jc w:val="center"/>
              <w:rPr>
                <w:rFonts w:ascii="仿宋" w:hAnsi="仿宋" w:eastAsia="仿宋" w:cs="仿宋"/>
                <w:color w:val="auto"/>
                <w:highlight w:val="none"/>
              </w:rPr>
            </w:pPr>
            <w:r>
              <w:rPr>
                <w:rFonts w:hint="eastAsia" w:ascii="仿宋" w:hAnsi="仿宋" w:cs="仿宋"/>
                <w:color w:val="auto"/>
                <w:highlight w:val="none"/>
              </w:rPr>
              <w:t>9</w:t>
            </w:r>
          </w:p>
        </w:tc>
        <w:tc>
          <w:tcPr>
            <w:tcW w:w="1041" w:type="dxa"/>
            <w:gridSpan w:val="2"/>
            <w:tcBorders>
              <w:top w:val="single" w:color="auto" w:sz="4" w:space="0"/>
              <w:left w:val="single" w:color="auto" w:sz="4" w:space="0"/>
              <w:bottom w:val="single" w:color="auto" w:sz="4" w:space="0"/>
              <w:right w:val="single" w:color="auto" w:sz="4" w:space="0"/>
            </w:tcBorders>
            <w:noWrap/>
            <w:vAlign w:val="center"/>
          </w:tcPr>
          <w:p w14:paraId="3ED810DB">
            <w:pPr>
              <w:spacing w:line="360" w:lineRule="exact"/>
              <w:jc w:val="center"/>
              <w:rPr>
                <w:rFonts w:ascii="仿宋" w:hAnsi="仿宋" w:cs="仿宋"/>
                <w:color w:val="auto"/>
                <w:highlight w:val="none"/>
              </w:rPr>
            </w:pPr>
            <w:r>
              <w:rPr>
                <w:rFonts w:ascii="仿宋" w:hAnsi="仿宋" w:cs="仿宋"/>
                <w:color w:val="auto"/>
                <w:highlight w:val="none"/>
              </w:rPr>
              <w:t>企业</w:t>
            </w:r>
          </w:p>
          <w:p w14:paraId="0D824D88">
            <w:pPr>
              <w:spacing w:line="360" w:lineRule="exact"/>
              <w:jc w:val="center"/>
              <w:rPr>
                <w:rFonts w:ascii="仿宋" w:hAnsi="仿宋" w:cs="仿宋"/>
                <w:color w:val="auto"/>
                <w:highlight w:val="none"/>
              </w:rPr>
            </w:pPr>
            <w:r>
              <w:rPr>
                <w:rFonts w:ascii="仿宋" w:hAnsi="仿宋" w:cs="仿宋"/>
                <w:color w:val="auto"/>
                <w:highlight w:val="none"/>
              </w:rPr>
              <w:t>业绩</w:t>
            </w:r>
          </w:p>
        </w:tc>
        <w:tc>
          <w:tcPr>
            <w:tcW w:w="6448" w:type="dxa"/>
            <w:tcBorders>
              <w:top w:val="single" w:color="auto" w:sz="4" w:space="0"/>
              <w:left w:val="single" w:color="auto" w:sz="4" w:space="0"/>
              <w:bottom w:val="single" w:color="auto" w:sz="4" w:space="0"/>
              <w:right w:val="single" w:color="auto" w:sz="4" w:space="0"/>
            </w:tcBorders>
            <w:noWrap/>
            <w:vAlign w:val="center"/>
          </w:tcPr>
          <w:p w14:paraId="1DE98EF6">
            <w:pPr>
              <w:widowControl/>
              <w:snapToGrid w:val="0"/>
              <w:spacing w:line="460" w:lineRule="exact"/>
              <w:jc w:val="left"/>
              <w:rPr>
                <w:rFonts w:ascii="仿宋" w:hAnsi="仿宋" w:cs="宋体"/>
                <w:color w:val="auto"/>
                <w:kern w:val="0"/>
                <w:highlight w:val="none"/>
                <w:lang w:bidi="ar"/>
              </w:rPr>
            </w:pPr>
            <w:r>
              <w:rPr>
                <w:rFonts w:hint="eastAsia" w:ascii="仿宋" w:hAnsi="仿宋" w:cs="宋体"/>
                <w:color w:val="auto"/>
                <w:kern w:val="0"/>
                <w:highlight w:val="none"/>
                <w:lang w:bidi="ar"/>
              </w:rPr>
              <w:t>投标人自 202</w:t>
            </w:r>
            <w:r>
              <w:rPr>
                <w:rFonts w:hint="eastAsia" w:ascii="仿宋" w:hAnsi="仿宋" w:cs="宋体"/>
                <w:color w:val="auto"/>
                <w:kern w:val="0"/>
                <w:highlight w:val="none"/>
                <w:lang w:val="en-US" w:eastAsia="zh-CN" w:bidi="ar"/>
              </w:rPr>
              <w:t>1</w:t>
            </w:r>
            <w:r>
              <w:rPr>
                <w:rFonts w:hint="eastAsia" w:ascii="仿宋" w:hAnsi="仿宋" w:cs="宋体"/>
                <w:color w:val="auto"/>
                <w:kern w:val="0"/>
                <w:highlight w:val="none"/>
                <w:lang w:bidi="ar"/>
              </w:rPr>
              <w:t>年 1 月 1 日以来（以合同签订日期为准）承担过同类项目业绩的每项得</w:t>
            </w:r>
            <w:r>
              <w:rPr>
                <w:rFonts w:hint="eastAsia" w:ascii="仿宋" w:hAnsi="仿宋" w:cs="宋体"/>
                <w:color w:val="auto"/>
                <w:kern w:val="0"/>
                <w:highlight w:val="none"/>
                <w:lang w:val="en-US" w:eastAsia="zh-CN" w:bidi="ar"/>
              </w:rPr>
              <w:t>2</w:t>
            </w:r>
            <w:r>
              <w:rPr>
                <w:rFonts w:hint="eastAsia" w:ascii="仿宋" w:hAnsi="仿宋" w:cs="宋体"/>
                <w:color w:val="auto"/>
                <w:kern w:val="0"/>
                <w:highlight w:val="none"/>
                <w:lang w:bidi="ar"/>
              </w:rPr>
              <w:t>分，最高可得4分。</w:t>
            </w:r>
          </w:p>
          <w:p w14:paraId="607A1A0B">
            <w:pPr>
              <w:jc w:val="left"/>
              <w:rPr>
                <w:rFonts w:ascii="仿宋" w:hAnsi="仿宋" w:cs="宋体"/>
                <w:color w:val="auto"/>
                <w:highlight w:val="none"/>
                <w:lang w:bidi="ar"/>
              </w:rPr>
            </w:pPr>
            <w:r>
              <w:rPr>
                <w:rFonts w:hint="eastAsia" w:ascii="仿宋" w:hAnsi="仿宋" w:cs="宋体"/>
                <w:b/>
                <w:color w:val="auto"/>
                <w:highlight w:val="none"/>
                <w:u w:val="single"/>
              </w:rPr>
              <w:t>提供合同扫描件，须体现项目建设内容，合同中未体现项目特征的，须提供业主证明文件，未提供或未体现的不得分</w:t>
            </w:r>
            <w:r>
              <w:rPr>
                <w:rFonts w:hint="eastAsia" w:ascii="仿宋" w:hAnsi="仿宋" w:cs="宋体"/>
                <w:color w:val="auto"/>
                <w:highlight w:val="none"/>
              </w:rPr>
              <w:t>。</w:t>
            </w:r>
          </w:p>
        </w:tc>
        <w:tc>
          <w:tcPr>
            <w:tcW w:w="1009" w:type="dxa"/>
            <w:tcBorders>
              <w:top w:val="single" w:color="auto" w:sz="4" w:space="0"/>
              <w:left w:val="single" w:color="auto" w:sz="4" w:space="0"/>
              <w:bottom w:val="single" w:color="auto" w:sz="4" w:space="0"/>
              <w:right w:val="single" w:color="auto" w:sz="4" w:space="0"/>
            </w:tcBorders>
            <w:noWrap/>
            <w:vAlign w:val="center"/>
          </w:tcPr>
          <w:p w14:paraId="7B47A280">
            <w:pPr>
              <w:spacing w:line="360" w:lineRule="exact"/>
              <w:jc w:val="center"/>
              <w:rPr>
                <w:rFonts w:ascii="仿宋" w:hAnsi="仿宋" w:cs="仿宋"/>
                <w:color w:val="auto"/>
                <w:highlight w:val="none"/>
              </w:rPr>
            </w:pPr>
            <w:r>
              <w:rPr>
                <w:rFonts w:hint="eastAsia" w:ascii="仿宋" w:hAnsi="仿宋" w:cs="仿宋"/>
                <w:color w:val="auto"/>
                <w:highlight w:val="none"/>
              </w:rPr>
              <w:t>4分</w:t>
            </w:r>
          </w:p>
        </w:tc>
      </w:tr>
      <w:bookmarkEnd w:id="10"/>
    </w:tbl>
    <w:p w14:paraId="52FAA93A">
      <w:pPr>
        <w:spacing w:line="360" w:lineRule="auto"/>
        <w:jc w:val="left"/>
        <w:rPr>
          <w:rFonts w:ascii="仿宋" w:hAnsi="仿宋" w:eastAsia="仿宋"/>
          <w:color w:val="auto"/>
          <w:sz w:val="24"/>
          <w:highlight w:val="none"/>
        </w:rPr>
      </w:pPr>
    </w:p>
    <w:p w14:paraId="032A7794">
      <w:pPr>
        <w:rPr>
          <w:rFonts w:hint="eastAsia" w:ascii="宋体" w:hAnsi="宋体"/>
          <w:b/>
          <w:bCs/>
          <w:color w:val="auto"/>
          <w:spacing w:val="-6"/>
          <w:sz w:val="32"/>
          <w:szCs w:val="32"/>
          <w:highlight w:val="none"/>
        </w:rPr>
      </w:pPr>
    </w:p>
    <w:p w14:paraId="04844966">
      <w:pPr>
        <w:rPr>
          <w:rFonts w:hint="eastAsia" w:ascii="宋体" w:hAnsi="宋体"/>
          <w:b/>
          <w:bCs/>
          <w:color w:val="auto"/>
          <w:spacing w:val="-6"/>
          <w:sz w:val="32"/>
          <w:szCs w:val="32"/>
          <w:highlight w:val="none"/>
        </w:rPr>
      </w:pPr>
      <w:r>
        <w:rPr>
          <w:rFonts w:hint="eastAsia" w:ascii="宋体" w:hAnsi="宋体"/>
          <w:b/>
          <w:bCs/>
          <w:color w:val="auto"/>
          <w:spacing w:val="-6"/>
          <w:sz w:val="32"/>
          <w:szCs w:val="32"/>
          <w:highlight w:val="none"/>
        </w:rPr>
        <w:br w:type="page"/>
      </w:r>
    </w:p>
    <w:p w14:paraId="3A77C0A2">
      <w:pPr>
        <w:spacing w:line="360" w:lineRule="auto"/>
        <w:jc w:val="left"/>
        <w:rPr>
          <w:rFonts w:ascii="宋体" w:hAnsi="宋体"/>
          <w:color w:val="auto"/>
          <w:spacing w:val="-6"/>
          <w:sz w:val="32"/>
          <w:szCs w:val="32"/>
          <w:highlight w:val="none"/>
        </w:rPr>
      </w:pPr>
      <w:r>
        <w:rPr>
          <w:rFonts w:hint="eastAsia" w:ascii="宋体" w:hAnsi="宋体"/>
          <w:b/>
          <w:bCs/>
          <w:color w:val="auto"/>
          <w:spacing w:val="-6"/>
          <w:sz w:val="32"/>
          <w:szCs w:val="32"/>
          <w:highlight w:val="none"/>
        </w:rPr>
        <w:t>附件2</w:t>
      </w:r>
    </w:p>
    <w:p w14:paraId="7DC21732">
      <w:pPr>
        <w:jc w:val="right"/>
        <w:outlineLvl w:val="0"/>
        <w:rPr>
          <w:rFonts w:hint="default" w:eastAsia="仿宋"/>
          <w:b/>
          <w:color w:val="auto"/>
          <w:sz w:val="52"/>
          <w:szCs w:val="52"/>
          <w:highlight w:val="none"/>
          <w:lang w:val="en-US" w:eastAsia="zh-CN"/>
        </w:rPr>
      </w:pPr>
      <w:r>
        <w:rPr>
          <w:rFonts w:hint="eastAsia" w:eastAsia="仿宋"/>
          <w:b/>
          <w:color w:val="auto"/>
          <w:sz w:val="32"/>
          <w:szCs w:val="32"/>
          <w:highlight w:val="none"/>
          <w:lang w:val="en-US" w:eastAsia="zh-CN"/>
        </w:rPr>
        <w:t>正本/副本</w:t>
      </w:r>
    </w:p>
    <w:p w14:paraId="20DF7CD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085F991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200FDE0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2CA98D94">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24E09A61">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2BE3015F">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4199F76D">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52"/>
          <w:szCs w:val="52"/>
          <w:highlight w:val="none"/>
          <w:lang w:val="en-US" w:eastAsia="zh-CN"/>
        </w:rPr>
      </w:pPr>
    </w:p>
    <w:p w14:paraId="7029474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
          <w:b/>
          <w:color w:val="auto"/>
          <w:sz w:val="52"/>
          <w:szCs w:val="52"/>
          <w:highlight w:val="none"/>
          <w:lang w:val="en-US" w:eastAsia="zh-CN"/>
        </w:rPr>
      </w:pPr>
      <w:r>
        <w:rPr>
          <w:rFonts w:hint="eastAsia" w:eastAsia="仿宋"/>
          <w:b/>
          <w:color w:val="auto"/>
          <w:sz w:val="52"/>
          <w:szCs w:val="52"/>
          <w:highlight w:val="none"/>
          <w:lang w:val="en-US" w:eastAsia="zh-CN"/>
        </w:rPr>
        <w:t>资格文件</w:t>
      </w:r>
    </w:p>
    <w:p w14:paraId="1EC85A48">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62535554">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项目名称：</w:t>
      </w:r>
    </w:p>
    <w:p w14:paraId="65C2E88A">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项目编号：</w:t>
      </w:r>
    </w:p>
    <w:p w14:paraId="3B361109">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投标人名称：</w:t>
      </w:r>
    </w:p>
    <w:p w14:paraId="52811B15">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投标人地址：</w:t>
      </w:r>
    </w:p>
    <w:p w14:paraId="088C3A49">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在  年  月  日  时  分之前不得启封</w:t>
      </w:r>
    </w:p>
    <w:p w14:paraId="1384A239">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color w:val="auto"/>
          <w:sz w:val="32"/>
          <w:highlight w:val="none"/>
          <w:lang w:val="en-US" w:eastAsia="zh-CN"/>
        </w:rPr>
      </w:pPr>
    </w:p>
    <w:p w14:paraId="3F7C75A1">
      <w:pPr>
        <w:ind w:firstLine="0" w:firstLineChars="0"/>
        <w:outlineLvl w:val="0"/>
        <w:rPr>
          <w:color w:val="auto"/>
          <w:szCs w:val="22"/>
          <w:highlight w:val="none"/>
          <w:lang w:eastAsia="zh-Hans"/>
        </w:rPr>
      </w:pPr>
      <w:r>
        <w:rPr>
          <w:rFonts w:hint="eastAsia" w:eastAsia="仿宋"/>
          <w:b/>
          <w:color w:val="auto"/>
          <w:sz w:val="32"/>
          <w:highlight w:val="none"/>
          <w:lang w:val="en-US" w:eastAsia="zh-CN"/>
        </w:rPr>
        <w:t xml:space="preserve">                                         年  月  日</w:t>
      </w:r>
      <w:r>
        <w:rPr>
          <w:rFonts w:hint="eastAsia"/>
          <w:color w:val="auto"/>
          <w:szCs w:val="22"/>
          <w:highlight w:val="none"/>
        </w:rPr>
        <w:br w:type="page"/>
      </w:r>
    </w:p>
    <w:p w14:paraId="3E7E60D2">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color w:val="auto"/>
          <w:sz w:val="30"/>
          <w:szCs w:val="22"/>
          <w:highlight w:val="none"/>
          <w:lang w:val="en-US" w:eastAsia="zh-CN"/>
        </w:rPr>
      </w:pPr>
      <w:r>
        <w:rPr>
          <w:rFonts w:hint="eastAsia" w:eastAsia="仿宋"/>
          <w:b/>
          <w:color w:val="auto"/>
          <w:sz w:val="30"/>
          <w:szCs w:val="22"/>
          <w:highlight w:val="none"/>
          <w:lang w:val="en-US" w:eastAsia="zh-CN"/>
        </w:rPr>
        <w:t>有效的营业执照（非企业法人可提供其他证明材料）</w:t>
      </w:r>
    </w:p>
    <w:p w14:paraId="277E1A1B">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color w:val="auto"/>
          <w:sz w:val="30"/>
          <w:szCs w:val="22"/>
          <w:highlight w:val="none"/>
          <w:lang w:val="en-US" w:eastAsia="zh-CN"/>
        </w:rPr>
      </w:pPr>
    </w:p>
    <w:p w14:paraId="67F79B80">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color w:val="auto"/>
          <w:sz w:val="30"/>
          <w:szCs w:val="22"/>
          <w:highlight w:val="none"/>
          <w:lang w:val="en-US" w:eastAsia="zh-CN"/>
        </w:rPr>
      </w:pPr>
      <w:r>
        <w:rPr>
          <w:rFonts w:hint="eastAsia" w:eastAsia="仿宋"/>
          <w:b/>
          <w:color w:val="auto"/>
          <w:sz w:val="30"/>
          <w:szCs w:val="22"/>
          <w:highlight w:val="none"/>
          <w:lang w:val="en-US" w:eastAsia="zh-CN"/>
        </w:rPr>
        <w:t>提供自公告发布之日起至开标日前任意时间的“信用中国”（www.creditchina.gov.cn）、“中国政府采购网”（www.ccgp.gov.cn）供应商信用查询网页截图</w:t>
      </w:r>
    </w:p>
    <w:p w14:paraId="01FD80FC">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color w:val="auto"/>
          <w:sz w:val="30"/>
          <w:szCs w:val="22"/>
          <w:highlight w:val="none"/>
          <w:lang w:val="en-US" w:eastAsia="zh-CN"/>
        </w:rPr>
      </w:pPr>
    </w:p>
    <w:p w14:paraId="31E3831F">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color w:val="auto"/>
          <w:sz w:val="30"/>
          <w:szCs w:val="22"/>
          <w:highlight w:val="none"/>
          <w:lang w:val="en-US" w:eastAsia="zh-CN"/>
        </w:rPr>
      </w:pPr>
      <w:r>
        <w:rPr>
          <w:rFonts w:hint="eastAsia" w:eastAsia="仿宋"/>
          <w:b/>
          <w:color w:val="auto"/>
          <w:sz w:val="30"/>
          <w:szCs w:val="22"/>
          <w:highlight w:val="none"/>
          <w:lang w:val="en-US" w:eastAsia="zh-CN"/>
        </w:rPr>
        <w:t>最近一个季度</w:t>
      </w:r>
      <w:bookmarkStart w:id="20" w:name="_GoBack"/>
      <w:bookmarkEnd w:id="20"/>
      <w:r>
        <w:rPr>
          <w:rFonts w:hint="eastAsia" w:eastAsia="仿宋"/>
          <w:b/>
          <w:color w:val="auto"/>
          <w:sz w:val="30"/>
          <w:szCs w:val="22"/>
          <w:highlight w:val="none"/>
          <w:lang w:val="en-US" w:eastAsia="zh-CN"/>
        </w:rPr>
        <w:t>供应商依法缴纳税收和社保费的证明（税费凭证复印件，或者依法缴纳税费或依法免缴税费的证明)</w:t>
      </w:r>
    </w:p>
    <w:p w14:paraId="021DE0B0">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仿宋" w:hAnsi="仿宋" w:eastAsia="仿宋" w:cs="仿宋"/>
          <w:b/>
          <w:bCs w:val="0"/>
          <w:color w:val="auto"/>
          <w:kern w:val="2"/>
          <w:sz w:val="30"/>
          <w:szCs w:val="30"/>
          <w:highlight w:val="none"/>
          <w:lang w:val="en-US" w:eastAsia="zh-CN" w:bidi="ar"/>
        </w:rPr>
      </w:pPr>
    </w:p>
    <w:p w14:paraId="13101C9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Times New Roman" w:hAnsi="Times New Roman" w:eastAsia="宋体" w:cs="Times New Roman"/>
          <w:b/>
          <w:bCs w:val="0"/>
          <w:color w:val="auto"/>
          <w:kern w:val="44"/>
          <w:sz w:val="44"/>
          <w:szCs w:val="44"/>
          <w:highlight w:val="none"/>
        </w:rPr>
      </w:pPr>
      <w:r>
        <w:rPr>
          <w:rFonts w:hint="eastAsia" w:ascii="仿宋" w:hAnsi="仿宋" w:eastAsia="仿宋" w:cs="仿宋"/>
          <w:b/>
          <w:bCs w:val="0"/>
          <w:color w:val="auto"/>
          <w:kern w:val="2"/>
          <w:sz w:val="30"/>
          <w:szCs w:val="30"/>
          <w:highlight w:val="none"/>
          <w:lang w:val="en-US" w:eastAsia="zh-CN" w:bidi="ar"/>
        </w:rPr>
        <w:t>身份证件</w:t>
      </w:r>
      <w:r>
        <w:rPr>
          <w:rFonts w:hint="eastAsia" w:ascii="Times New Roman" w:hAnsi="Times New Roman" w:eastAsia="宋体" w:cs="Times New Roman"/>
          <w:b/>
          <w:bCs w:val="0"/>
          <w:color w:val="auto"/>
          <w:kern w:val="44"/>
          <w:sz w:val="44"/>
          <w:szCs w:val="44"/>
          <w:highlight w:val="none"/>
        </w:rPr>
        <w:t xml:space="preserve"> </w:t>
      </w:r>
    </w:p>
    <w:tbl>
      <w:tblPr>
        <w:tblStyle w:val="2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35CC7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14A6074F">
            <w:pPr>
              <w:pStyle w:val="16"/>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color w:val="auto"/>
                <w:spacing w:val="24"/>
                <w:kern w:val="2"/>
                <w:sz w:val="24"/>
                <w:szCs w:val="24"/>
                <w:highlight w:val="none"/>
              </w:rPr>
            </w:pPr>
          </w:p>
          <w:p w14:paraId="0117FB2B">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法定代表人居民身份证</w:t>
            </w:r>
          </w:p>
          <w:p w14:paraId="44072B45">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复印件</w:t>
            </w:r>
          </w:p>
          <w:p w14:paraId="63AC349B">
            <w:pPr>
              <w:pStyle w:val="16"/>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（正面）</w:t>
            </w:r>
          </w:p>
          <w:p w14:paraId="28D7662D">
            <w:pPr>
              <w:pStyle w:val="16"/>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color w:val="auto"/>
                <w:kern w:val="2"/>
                <w:sz w:val="24"/>
                <w:szCs w:val="24"/>
                <w:highlight w:val="none"/>
              </w:rPr>
            </w:pPr>
          </w:p>
          <w:p w14:paraId="0FB52D6B">
            <w:pPr>
              <w:pStyle w:val="16"/>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color w:val="auto"/>
                <w:kern w:val="2"/>
                <w:sz w:val="24"/>
                <w:szCs w:val="24"/>
                <w:highlight w:val="none"/>
              </w:rPr>
            </w:pPr>
          </w:p>
        </w:tc>
        <w:tc>
          <w:tcPr>
            <w:tcW w:w="355" w:type="dxa"/>
            <w:tcBorders>
              <w:top w:val="nil"/>
              <w:left w:val="nil"/>
              <w:bottom w:val="nil"/>
              <w:right w:val="single" w:color="auto" w:sz="4" w:space="0"/>
            </w:tcBorders>
            <w:shd w:val="clear" w:color="auto" w:fill="auto"/>
            <w:vAlign w:val="top"/>
          </w:tcPr>
          <w:p w14:paraId="7B39CC5A">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color w:val="auto"/>
                <w:kern w:val="2"/>
                <w:sz w:val="24"/>
                <w:szCs w:val="24"/>
                <w:highlight w:val="none"/>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6A2659E6">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auto"/>
                <w:spacing w:val="24"/>
                <w:kern w:val="2"/>
                <w:sz w:val="24"/>
                <w:szCs w:val="24"/>
                <w:highlight w:val="none"/>
              </w:rPr>
            </w:pPr>
          </w:p>
          <w:p w14:paraId="1360264D">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法定代表人居民身份证</w:t>
            </w:r>
          </w:p>
          <w:p w14:paraId="3740DAFE">
            <w:pPr>
              <w:pStyle w:val="16"/>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复印件</w:t>
            </w:r>
          </w:p>
          <w:p w14:paraId="49E49123">
            <w:pPr>
              <w:pStyle w:val="16"/>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（反面）</w:t>
            </w:r>
          </w:p>
          <w:p w14:paraId="01785070">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color w:val="auto"/>
                <w:kern w:val="2"/>
                <w:sz w:val="24"/>
                <w:szCs w:val="24"/>
                <w:highlight w:val="none"/>
              </w:rPr>
            </w:pPr>
          </w:p>
        </w:tc>
      </w:tr>
    </w:tbl>
    <w:p w14:paraId="5F10D4C0">
      <w:pPr>
        <w:pStyle w:val="3"/>
        <w:widowControl/>
        <w:rPr>
          <w:rFonts w:hint="eastAsia" w:ascii="Times New Roman" w:hAnsi="Times New Roman" w:eastAsia="宋体" w:cs="Times New Roman"/>
          <w:color w:val="auto"/>
          <w:kern w:val="2"/>
          <w:sz w:val="24"/>
          <w:szCs w:val="24"/>
          <w:highlight w:val="none"/>
        </w:rPr>
      </w:pPr>
      <w:r>
        <w:rPr>
          <w:rFonts w:hint="eastAsia" w:ascii="Times New Roman" w:hAnsi="Times New Roman" w:eastAsia="宋体" w:cs="Times New Roman"/>
          <w:b/>
          <w:bCs w:val="0"/>
          <w:color w:val="auto"/>
          <w:kern w:val="44"/>
          <w:sz w:val="44"/>
          <w:szCs w:val="44"/>
          <w:highlight w:val="none"/>
        </w:rPr>
        <w:t xml:space="preserve"> </w:t>
      </w:r>
    </w:p>
    <w:tbl>
      <w:tblPr>
        <w:tblStyle w:val="20"/>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14:paraId="70E7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14:paraId="547B9A75">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color w:val="auto"/>
                <w:spacing w:val="24"/>
                <w:kern w:val="2"/>
                <w:sz w:val="24"/>
                <w:szCs w:val="24"/>
                <w:highlight w:val="none"/>
              </w:rPr>
            </w:pPr>
          </w:p>
          <w:p w14:paraId="171CB1A3">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授权委托人居民身份证</w:t>
            </w:r>
          </w:p>
          <w:p w14:paraId="2317D6CC">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复印件</w:t>
            </w:r>
          </w:p>
          <w:p w14:paraId="3593E856">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（正面）</w:t>
            </w:r>
          </w:p>
          <w:p w14:paraId="541B6D0B">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color w:val="auto"/>
                <w:kern w:val="2"/>
                <w:sz w:val="24"/>
                <w:szCs w:val="24"/>
                <w:highlight w:val="none"/>
              </w:rPr>
            </w:pPr>
          </w:p>
          <w:p w14:paraId="096590F1">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color w:val="auto"/>
                <w:kern w:val="2"/>
                <w:sz w:val="24"/>
                <w:szCs w:val="24"/>
                <w:highlight w:val="none"/>
              </w:rPr>
            </w:pPr>
          </w:p>
        </w:tc>
        <w:tc>
          <w:tcPr>
            <w:tcW w:w="355" w:type="dxa"/>
            <w:tcBorders>
              <w:top w:val="nil"/>
              <w:left w:val="nil"/>
              <w:bottom w:val="nil"/>
              <w:right w:val="single" w:color="auto" w:sz="4" w:space="0"/>
            </w:tcBorders>
            <w:shd w:val="clear" w:color="auto" w:fill="auto"/>
            <w:vAlign w:val="top"/>
          </w:tcPr>
          <w:p w14:paraId="67C7D1A5">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color w:val="auto"/>
                <w:kern w:val="2"/>
                <w:sz w:val="24"/>
                <w:szCs w:val="24"/>
                <w:highlight w:val="none"/>
              </w:rPr>
            </w:pPr>
          </w:p>
        </w:tc>
        <w:tc>
          <w:tcPr>
            <w:tcW w:w="4576" w:type="dxa"/>
            <w:tcBorders>
              <w:top w:val="single" w:color="auto" w:sz="4" w:space="0"/>
              <w:left w:val="nil"/>
              <w:bottom w:val="single" w:color="auto" w:sz="4" w:space="0"/>
              <w:right w:val="single" w:color="auto" w:sz="4" w:space="0"/>
            </w:tcBorders>
            <w:shd w:val="clear" w:color="auto" w:fill="auto"/>
            <w:vAlign w:val="top"/>
          </w:tcPr>
          <w:p w14:paraId="21661198">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color w:val="auto"/>
                <w:spacing w:val="24"/>
                <w:kern w:val="2"/>
                <w:sz w:val="24"/>
                <w:szCs w:val="24"/>
                <w:highlight w:val="none"/>
              </w:rPr>
            </w:pPr>
          </w:p>
          <w:p w14:paraId="290EB42E">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授权委托人居民身份证</w:t>
            </w:r>
          </w:p>
          <w:p w14:paraId="07BB2CCF">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color w:val="auto"/>
                <w:spacing w:val="24"/>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复印件</w:t>
            </w:r>
          </w:p>
          <w:p w14:paraId="370E135E">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color w:val="auto"/>
                <w:kern w:val="2"/>
                <w:sz w:val="24"/>
                <w:szCs w:val="24"/>
                <w:highlight w:val="none"/>
              </w:rPr>
            </w:pPr>
            <w:r>
              <w:rPr>
                <w:rFonts w:hint="eastAsia" w:ascii="宋体" w:hAnsi="宋体" w:eastAsia="宋体" w:cs="宋体"/>
                <w:color w:val="auto"/>
                <w:spacing w:val="24"/>
                <w:kern w:val="2"/>
                <w:sz w:val="24"/>
                <w:szCs w:val="24"/>
                <w:highlight w:val="none"/>
                <w:lang w:val="en-US" w:eastAsia="zh-CN" w:bidi="ar"/>
              </w:rPr>
              <w:t>（反面）</w:t>
            </w:r>
          </w:p>
          <w:p w14:paraId="51E1CE21">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color w:val="auto"/>
                <w:kern w:val="2"/>
                <w:sz w:val="24"/>
                <w:szCs w:val="24"/>
                <w:highlight w:val="none"/>
              </w:rPr>
            </w:pPr>
          </w:p>
        </w:tc>
      </w:tr>
    </w:tbl>
    <w:p w14:paraId="26713A21">
      <w:pPr>
        <w:keepNext w:val="0"/>
        <w:keepLines w:val="0"/>
        <w:widowControl w:val="0"/>
        <w:suppressLineNumbers w:val="0"/>
        <w:spacing w:before="0" w:beforeAutospacing="0" w:after="0" w:afterAutospacing="0" w:line="360" w:lineRule="auto"/>
        <w:ind w:left="0" w:leftChars="0" w:right="0" w:firstLine="0" w:firstLineChars="0"/>
        <w:jc w:val="both"/>
        <w:rPr>
          <w:rFonts w:hint="eastAsia" w:eastAsia="仿宋"/>
          <w:b/>
          <w:color w:val="auto"/>
          <w:sz w:val="30"/>
          <w:szCs w:val="22"/>
          <w:highlight w:val="none"/>
          <w:lang w:val="en-US" w:eastAsia="zh-CN"/>
        </w:rPr>
      </w:pPr>
      <w:r>
        <w:rPr>
          <w:rFonts w:hint="eastAsia" w:eastAsia="仿宋"/>
          <w:b/>
          <w:color w:val="auto"/>
          <w:sz w:val="30"/>
          <w:szCs w:val="22"/>
          <w:highlight w:val="none"/>
          <w:lang w:val="en-US" w:eastAsia="zh-CN"/>
        </w:rPr>
        <w:br w:type="page"/>
      </w:r>
    </w:p>
    <w:p w14:paraId="31145FAA">
      <w:pPr>
        <w:keepNext/>
        <w:keepLines/>
        <w:ind w:firstLine="602"/>
        <w:jc w:val="center"/>
        <w:outlineLvl w:val="1"/>
        <w:rPr>
          <w:rFonts w:hint="eastAsia" w:ascii="微软雅黑" w:hAnsi="微软雅黑" w:eastAsia="仿宋" w:cs="微软雅黑"/>
          <w:bCs/>
          <w:color w:val="auto"/>
          <w:szCs w:val="22"/>
          <w:highlight w:val="none"/>
          <w:lang w:eastAsia="zh-CN"/>
        </w:rPr>
      </w:pPr>
      <w:r>
        <w:rPr>
          <w:rFonts w:hint="eastAsia" w:eastAsia="仿宋"/>
          <w:b/>
          <w:color w:val="auto"/>
          <w:sz w:val="30"/>
          <w:szCs w:val="22"/>
          <w:highlight w:val="none"/>
          <w:lang w:val="en-US" w:eastAsia="zh-CN"/>
        </w:rPr>
        <w:t>法定代表人</w:t>
      </w:r>
      <w:r>
        <w:rPr>
          <w:rFonts w:hint="eastAsia" w:eastAsia="仿宋"/>
          <w:b/>
          <w:color w:val="auto"/>
          <w:sz w:val="30"/>
          <w:szCs w:val="22"/>
          <w:highlight w:val="none"/>
        </w:rPr>
        <w:t>授权委托书</w:t>
      </w:r>
    </w:p>
    <w:p w14:paraId="099E220E">
      <w:pPr>
        <w:spacing w:before="156" w:beforeLines="50"/>
        <w:ind w:left="0" w:leftChars="0" w:firstLine="0" w:firstLineChars="0"/>
        <w:rPr>
          <w:rFonts w:hint="eastAsia" w:ascii="微软雅黑" w:hAnsi="微软雅黑" w:cs="微软雅黑"/>
          <w:bCs/>
          <w:color w:val="auto"/>
          <w:szCs w:val="22"/>
          <w:highlight w:val="none"/>
        </w:rPr>
      </w:pPr>
      <w:r>
        <w:rPr>
          <w:rFonts w:hint="eastAsia" w:ascii="微软雅黑" w:hAnsi="微软雅黑" w:cs="微软雅黑"/>
          <w:bCs/>
          <w:color w:val="auto"/>
          <w:szCs w:val="22"/>
          <w:highlight w:val="none"/>
        </w:rPr>
        <w:t>致</w:t>
      </w:r>
      <w:r>
        <w:rPr>
          <w:rFonts w:hint="eastAsia" w:ascii="微软雅黑" w:hAnsi="微软雅黑" w:cs="微软雅黑"/>
          <w:bCs/>
          <w:color w:val="auto"/>
          <w:szCs w:val="22"/>
          <w:highlight w:val="none"/>
          <w:lang w:val="en-US" w:eastAsia="zh-CN"/>
        </w:rPr>
        <w:t>湖州学院</w:t>
      </w:r>
      <w:r>
        <w:rPr>
          <w:rFonts w:hint="eastAsia" w:ascii="微软雅黑" w:hAnsi="微软雅黑" w:cs="微软雅黑"/>
          <w:bCs/>
          <w:color w:val="auto"/>
          <w:szCs w:val="22"/>
          <w:highlight w:val="none"/>
        </w:rPr>
        <w:t>：</w:t>
      </w:r>
    </w:p>
    <w:p w14:paraId="07EBF004">
      <w:pPr>
        <w:spacing w:before="156" w:beforeLines="50"/>
        <w:ind w:firstLine="480"/>
        <w:rPr>
          <w:rFonts w:hint="eastAsia" w:ascii="微软雅黑" w:hAnsi="微软雅黑" w:cs="微软雅黑"/>
          <w:bCs/>
          <w:color w:val="auto"/>
          <w:szCs w:val="22"/>
          <w:highlight w:val="none"/>
        </w:rPr>
      </w:pPr>
      <w:r>
        <w:rPr>
          <w:rFonts w:hint="eastAsia" w:ascii="微软雅黑" w:hAnsi="微软雅黑" w:cs="微软雅黑"/>
          <w:bCs/>
          <w:color w:val="auto"/>
          <w:szCs w:val="22"/>
          <w:highlight w:val="none"/>
          <w:u w:val="none"/>
          <w:lang w:val="en-US" w:eastAsia="zh-CN"/>
        </w:rPr>
        <w:t>本人</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（姓名）</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身份证号</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u w:val="none"/>
          <w:lang w:val="en-US" w:eastAsia="zh-CN"/>
        </w:rPr>
        <w:t>，</w:t>
      </w:r>
      <w:r>
        <w:rPr>
          <w:rFonts w:hint="eastAsia" w:ascii="微软雅黑" w:hAnsi="微软雅黑" w:cs="微软雅黑"/>
          <w:bCs/>
          <w:color w:val="auto"/>
          <w:szCs w:val="22"/>
          <w:highlight w:val="none"/>
        </w:rPr>
        <w:t>系</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w:t>
      </w:r>
      <w:r>
        <w:rPr>
          <w:rFonts w:hint="eastAsia" w:ascii="微软雅黑" w:hAnsi="微软雅黑" w:cs="微软雅黑"/>
          <w:bCs/>
          <w:color w:val="auto"/>
          <w:szCs w:val="22"/>
          <w:highlight w:val="none"/>
          <w:lang w:val="en-US" w:eastAsia="zh-CN"/>
        </w:rPr>
        <w:t>供应商</w:t>
      </w:r>
      <w:r>
        <w:rPr>
          <w:rFonts w:hint="eastAsia" w:ascii="微软雅黑" w:hAnsi="微软雅黑" w:cs="微软雅黑"/>
          <w:bCs/>
          <w:color w:val="auto"/>
          <w:szCs w:val="22"/>
          <w:highlight w:val="none"/>
        </w:rPr>
        <w:t>名称）的法定代表人，现授权委托</w:t>
      </w:r>
      <w:r>
        <w:rPr>
          <w:rFonts w:hint="eastAsia" w:ascii="微软雅黑" w:hAnsi="微软雅黑" w:cs="微软雅黑"/>
          <w:bCs/>
          <w:color w:val="auto"/>
          <w:szCs w:val="22"/>
          <w:highlight w:val="none"/>
          <w:u w:val="single"/>
        </w:rPr>
        <w:t xml:space="preserve"> </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（姓名）</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身份证号</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u w:val="none"/>
          <w:lang w:val="en-US" w:eastAsia="zh-CN"/>
        </w:rPr>
        <w:t>，为授权委托人。</w:t>
      </w:r>
      <w:r>
        <w:rPr>
          <w:rFonts w:hint="eastAsia" w:ascii="微软雅黑" w:hAnsi="微软雅黑" w:cs="微软雅黑"/>
          <w:bCs/>
          <w:color w:val="auto"/>
          <w:szCs w:val="22"/>
          <w:highlight w:val="none"/>
        </w:rPr>
        <w:t>以我方的名义参加</w:t>
      </w:r>
      <w:r>
        <w:rPr>
          <w:rFonts w:hint="eastAsia" w:ascii="Times New Roman" w:eastAsia="宋体"/>
          <w:color w:val="auto"/>
          <w:szCs w:val="22"/>
          <w:highlight w:val="none"/>
          <w:lang w:val="en-US" w:eastAsia="zh-CN"/>
        </w:rPr>
        <w:t>编号：</w:t>
      </w:r>
      <w:r>
        <w:rPr>
          <w:rFonts w:hint="eastAsia" w:ascii="Times New Roman" w:eastAsia="宋体"/>
          <w:color w:val="auto"/>
          <w:szCs w:val="22"/>
          <w:highlight w:val="none"/>
          <w:u w:val="single"/>
          <w:lang w:val="en-US" w:eastAsia="zh-CN"/>
        </w:rPr>
        <w:t xml:space="preserve">           </w:t>
      </w:r>
      <w:r>
        <w:rPr>
          <w:rFonts w:hint="eastAsia" w:ascii="Times New Roman" w:eastAsia="宋体"/>
          <w:color w:val="auto"/>
          <w:szCs w:val="22"/>
          <w:highlight w:val="none"/>
          <w:lang w:val="en-US" w:eastAsia="zh-CN"/>
        </w:rPr>
        <w:t>，名称：</w:t>
      </w:r>
      <w:r>
        <w:rPr>
          <w:rFonts w:hint="eastAsia" w:ascii="Times New Roman" w:eastAsia="宋体"/>
          <w:color w:val="auto"/>
          <w:szCs w:val="22"/>
          <w:highlight w:val="none"/>
          <w:u w:val="single"/>
          <w:lang w:val="en-US" w:eastAsia="zh-CN"/>
        </w:rPr>
        <w:t xml:space="preserve">                  </w:t>
      </w:r>
      <w:r>
        <w:rPr>
          <w:rFonts w:hint="eastAsia" w:ascii="微软雅黑" w:hAnsi="微软雅黑" w:cs="微软雅黑"/>
          <w:bCs/>
          <w:color w:val="auto"/>
          <w:szCs w:val="22"/>
          <w:highlight w:val="none"/>
        </w:rPr>
        <w:t>的投标活动，并代表我方全权办理针对上述项目的投标、开标、评标、签约等具体事务和签署相关文件。</w:t>
      </w:r>
    </w:p>
    <w:p w14:paraId="70F9CEFA">
      <w:pPr>
        <w:spacing w:before="156" w:beforeLines="50"/>
        <w:ind w:firstLine="480"/>
        <w:rPr>
          <w:rFonts w:hint="eastAsia" w:ascii="微软雅黑" w:hAnsi="微软雅黑" w:cs="微软雅黑"/>
          <w:bCs/>
          <w:color w:val="auto"/>
          <w:szCs w:val="22"/>
          <w:highlight w:val="none"/>
        </w:rPr>
      </w:pPr>
      <w:r>
        <w:rPr>
          <w:rFonts w:hint="eastAsia" w:ascii="微软雅黑" w:hAnsi="微软雅黑" w:cs="微软雅黑"/>
          <w:bCs/>
          <w:color w:val="auto"/>
          <w:szCs w:val="22"/>
          <w:highlight w:val="none"/>
        </w:rPr>
        <w:t>我方对</w:t>
      </w:r>
      <w:r>
        <w:rPr>
          <w:rFonts w:hint="eastAsia" w:ascii="微软雅黑" w:hAnsi="微软雅黑" w:cs="微软雅黑"/>
          <w:bCs/>
          <w:color w:val="auto"/>
          <w:szCs w:val="22"/>
          <w:highlight w:val="none"/>
          <w:lang w:val="en-US" w:eastAsia="zh-CN"/>
        </w:rPr>
        <w:t>授权委托人</w:t>
      </w:r>
      <w:r>
        <w:rPr>
          <w:rFonts w:hint="eastAsia" w:ascii="微软雅黑" w:hAnsi="微软雅黑" w:cs="微软雅黑"/>
          <w:bCs/>
          <w:color w:val="auto"/>
          <w:szCs w:val="22"/>
          <w:highlight w:val="none"/>
        </w:rPr>
        <w:t>的签名事项负全部责任。</w:t>
      </w:r>
    </w:p>
    <w:p w14:paraId="4D309410">
      <w:pPr>
        <w:spacing w:before="156" w:beforeLines="50"/>
        <w:ind w:firstLine="480"/>
        <w:rPr>
          <w:rFonts w:hint="eastAsia" w:ascii="微软雅黑" w:hAnsi="微软雅黑" w:cs="微软雅黑"/>
          <w:bCs/>
          <w:color w:val="auto"/>
          <w:szCs w:val="22"/>
          <w:highlight w:val="none"/>
        </w:rPr>
      </w:pPr>
      <w:r>
        <w:rPr>
          <w:rFonts w:hint="eastAsia" w:ascii="微软雅黑" w:hAnsi="微软雅黑" w:cs="微软雅黑"/>
          <w:bCs/>
          <w:color w:val="auto"/>
          <w:szCs w:val="22"/>
          <w:highlight w:val="none"/>
          <w:lang w:val="en-US" w:eastAsia="zh-CN"/>
        </w:rPr>
        <w:t>在撤销授权的书面通知之前，本授权书一直</w:t>
      </w:r>
      <w:r>
        <w:rPr>
          <w:rFonts w:hint="eastAsia" w:ascii="微软雅黑" w:hAnsi="微软雅黑" w:cs="微软雅黑"/>
          <w:bCs/>
          <w:color w:val="auto"/>
          <w:szCs w:val="22"/>
          <w:highlight w:val="none"/>
        </w:rPr>
        <w:t>有效</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授权委托人</w:t>
      </w:r>
      <w:r>
        <w:rPr>
          <w:rFonts w:hint="eastAsia" w:ascii="微软雅黑" w:hAnsi="微软雅黑" w:cs="微软雅黑"/>
          <w:bCs/>
          <w:color w:val="auto"/>
          <w:szCs w:val="22"/>
          <w:highlight w:val="none"/>
        </w:rPr>
        <w:t>在授权书有效期内签署的所有文件不因授权的撤销而失效。</w:t>
      </w:r>
    </w:p>
    <w:p w14:paraId="237299F0">
      <w:pPr>
        <w:spacing w:before="156" w:beforeLines="50"/>
        <w:ind w:firstLine="480"/>
        <w:rPr>
          <w:rFonts w:hint="eastAsia" w:ascii="微软雅黑" w:hAnsi="微软雅黑" w:cs="微软雅黑"/>
          <w:bCs/>
          <w:color w:val="auto"/>
          <w:szCs w:val="22"/>
          <w:highlight w:val="none"/>
        </w:rPr>
      </w:pPr>
      <w:r>
        <w:rPr>
          <w:rFonts w:hint="eastAsia" w:ascii="微软雅黑" w:hAnsi="微软雅黑" w:cs="微软雅黑"/>
          <w:bCs/>
          <w:color w:val="auto"/>
          <w:szCs w:val="22"/>
          <w:highlight w:val="none"/>
          <w:lang w:val="en-US" w:eastAsia="zh-CN"/>
        </w:rPr>
        <w:t>授权委托人</w:t>
      </w:r>
      <w:r>
        <w:rPr>
          <w:rFonts w:hint="eastAsia" w:ascii="微软雅黑" w:hAnsi="微软雅黑" w:cs="微软雅黑"/>
          <w:bCs/>
          <w:color w:val="auto"/>
          <w:szCs w:val="22"/>
          <w:highlight w:val="none"/>
        </w:rPr>
        <w:t>无转委托权，特此委托。</w:t>
      </w:r>
    </w:p>
    <w:p w14:paraId="32BC4836">
      <w:pPr>
        <w:spacing w:before="156" w:beforeLines="50"/>
        <w:ind w:firstLine="480"/>
        <w:rPr>
          <w:rFonts w:hint="eastAsia" w:ascii="微软雅黑" w:hAnsi="微软雅黑" w:cs="微软雅黑"/>
          <w:bCs/>
          <w:color w:val="auto"/>
          <w:szCs w:val="22"/>
          <w:highlight w:val="none"/>
        </w:rPr>
      </w:pPr>
    </w:p>
    <w:p w14:paraId="58C4D80D">
      <w:pPr>
        <w:ind w:firstLine="0" w:firstLineChars="0"/>
        <w:rPr>
          <w:color w:val="auto"/>
          <w:szCs w:val="22"/>
          <w:highlight w:val="none"/>
        </w:rPr>
      </w:pPr>
      <w:r>
        <w:rPr>
          <w:rFonts w:hint="eastAsia" w:ascii="Times New Roman" w:eastAsia="宋体"/>
          <w:color w:val="auto"/>
          <w:szCs w:val="22"/>
          <w:highlight w:val="none"/>
          <w:lang w:val="en-US" w:eastAsia="zh-CN"/>
        </w:rPr>
        <w:t>授权委托人</w:t>
      </w:r>
      <w:r>
        <w:rPr>
          <w:rFonts w:hint="eastAsia"/>
          <w:color w:val="auto"/>
          <w:szCs w:val="22"/>
          <w:highlight w:val="none"/>
        </w:rPr>
        <w:t xml:space="preserve">签名：                 </w:t>
      </w:r>
      <w:r>
        <w:rPr>
          <w:rFonts w:hint="eastAsia" w:ascii="Times New Roman" w:eastAsia="宋体"/>
          <w:color w:val="auto"/>
          <w:szCs w:val="22"/>
          <w:highlight w:val="none"/>
          <w:lang w:val="en-US" w:eastAsia="zh-CN"/>
        </w:rPr>
        <w:t>法定代表</w:t>
      </w:r>
      <w:r>
        <w:rPr>
          <w:rFonts w:hint="eastAsia"/>
          <w:color w:val="auto"/>
          <w:szCs w:val="22"/>
          <w:highlight w:val="none"/>
        </w:rPr>
        <w:t>人签名：</w:t>
      </w:r>
    </w:p>
    <w:p w14:paraId="70E52FBD">
      <w:pPr>
        <w:ind w:firstLine="0" w:firstLineChars="0"/>
        <w:rPr>
          <w:color w:val="auto"/>
          <w:szCs w:val="22"/>
          <w:highlight w:val="none"/>
        </w:rPr>
      </w:pPr>
    </w:p>
    <w:p w14:paraId="57DFCA56">
      <w:pPr>
        <w:ind w:firstLine="0" w:firstLineChars="0"/>
        <w:rPr>
          <w:color w:val="auto"/>
          <w:szCs w:val="22"/>
          <w:highlight w:val="none"/>
        </w:rPr>
      </w:pPr>
      <w:r>
        <w:rPr>
          <w:rFonts w:hint="eastAsia" w:eastAsia="宋体"/>
          <w:color w:val="auto"/>
          <w:szCs w:val="22"/>
          <w:highlight w:val="none"/>
          <w:lang w:eastAsia="zh-CN"/>
        </w:rPr>
        <w:t>供应商</w:t>
      </w:r>
      <w:r>
        <w:rPr>
          <w:rFonts w:hint="eastAsia"/>
          <w:color w:val="auto"/>
          <w:szCs w:val="22"/>
          <w:highlight w:val="none"/>
        </w:rPr>
        <w:t>全称公章：</w:t>
      </w:r>
    </w:p>
    <w:p w14:paraId="313407DA">
      <w:pPr>
        <w:ind w:firstLine="360"/>
        <w:rPr>
          <w:color w:val="auto"/>
          <w:sz w:val="18"/>
          <w:szCs w:val="18"/>
          <w:highlight w:val="none"/>
        </w:rPr>
      </w:pPr>
    </w:p>
    <w:p w14:paraId="780292C5">
      <w:pPr>
        <w:ind w:firstLine="0" w:firstLineChars="0"/>
        <w:rPr>
          <w:color w:val="auto"/>
          <w:szCs w:val="22"/>
          <w:highlight w:val="none"/>
          <w:lang w:eastAsia="zh-Hans"/>
        </w:rPr>
      </w:pPr>
      <w:r>
        <w:rPr>
          <w:rFonts w:hint="eastAsia" w:eastAsia="宋体"/>
          <w:color w:val="auto"/>
          <w:szCs w:val="22"/>
          <w:highlight w:val="none"/>
          <w:lang w:eastAsia="zh-Hans"/>
        </w:rPr>
        <w:t>日期</w:t>
      </w:r>
      <w:r>
        <w:rPr>
          <w:color w:val="auto"/>
          <w:szCs w:val="22"/>
          <w:highlight w:val="none"/>
          <w:lang w:eastAsia="zh-Hans"/>
        </w:rPr>
        <w:t xml:space="preserve">：    </w:t>
      </w:r>
      <w:r>
        <w:rPr>
          <w:rFonts w:hint="eastAsia" w:eastAsia="宋体"/>
          <w:color w:val="auto"/>
          <w:szCs w:val="22"/>
          <w:highlight w:val="none"/>
          <w:lang w:eastAsia="zh-Hans"/>
        </w:rPr>
        <w:t>年</w:t>
      </w:r>
      <w:r>
        <w:rPr>
          <w:color w:val="auto"/>
          <w:szCs w:val="22"/>
          <w:highlight w:val="none"/>
          <w:lang w:eastAsia="zh-Hans"/>
        </w:rPr>
        <w:t xml:space="preserve">  </w:t>
      </w:r>
      <w:r>
        <w:rPr>
          <w:rFonts w:hint="eastAsia" w:eastAsia="宋体"/>
          <w:color w:val="auto"/>
          <w:szCs w:val="22"/>
          <w:highlight w:val="none"/>
          <w:lang w:eastAsia="zh-Hans"/>
        </w:rPr>
        <w:t>月</w:t>
      </w:r>
      <w:r>
        <w:rPr>
          <w:color w:val="auto"/>
          <w:szCs w:val="22"/>
          <w:highlight w:val="none"/>
          <w:lang w:eastAsia="zh-Hans"/>
        </w:rPr>
        <w:t xml:space="preserve">  </w:t>
      </w:r>
      <w:r>
        <w:rPr>
          <w:rFonts w:hint="eastAsia" w:eastAsia="宋体"/>
          <w:color w:val="auto"/>
          <w:szCs w:val="22"/>
          <w:highlight w:val="none"/>
          <w:lang w:eastAsia="zh-Hans"/>
        </w:rPr>
        <w:t>日</w:t>
      </w:r>
    </w:p>
    <w:p w14:paraId="5E700716">
      <w:pPr>
        <w:rPr>
          <w:rFonts w:hint="eastAsia" w:eastAsia="仿宋"/>
          <w:b/>
          <w:color w:val="auto"/>
          <w:sz w:val="30"/>
          <w:szCs w:val="22"/>
          <w:highlight w:val="none"/>
          <w:lang w:val="en-US" w:eastAsia="zh-CN"/>
        </w:rPr>
      </w:pPr>
      <w:r>
        <w:rPr>
          <w:rFonts w:hint="eastAsia" w:eastAsia="仿宋"/>
          <w:b/>
          <w:color w:val="auto"/>
          <w:sz w:val="30"/>
          <w:szCs w:val="22"/>
          <w:highlight w:val="none"/>
          <w:lang w:val="en-US" w:eastAsia="zh-CN"/>
        </w:rPr>
        <w:br w:type="page"/>
      </w:r>
    </w:p>
    <w:p w14:paraId="6B889F68">
      <w:pPr>
        <w:keepNext w:val="0"/>
        <w:keepLines w:val="0"/>
        <w:widowControl w:val="0"/>
        <w:suppressLineNumbers w:val="0"/>
        <w:spacing w:before="0" w:beforeAutospacing="0" w:after="0" w:afterAutospacing="0" w:line="360" w:lineRule="auto"/>
        <w:ind w:left="0" w:right="0" w:firstLine="643" w:firstLineChars="200"/>
        <w:jc w:val="right"/>
        <w:outlineLvl w:val="0"/>
        <w:rPr>
          <w:rFonts w:hint="default" w:ascii="Times New Roman" w:hAnsi="Times New Roman" w:eastAsia="仿宋" w:cs="Times New Roman"/>
          <w:b/>
          <w:bCs w:val="0"/>
          <w:color w:val="auto"/>
          <w:kern w:val="2"/>
          <w:sz w:val="52"/>
          <w:szCs w:val="52"/>
          <w:highlight w:val="none"/>
        </w:rPr>
      </w:pPr>
      <w:r>
        <w:rPr>
          <w:rFonts w:hint="eastAsia" w:ascii="仿宋" w:hAnsi="仿宋" w:eastAsia="仿宋" w:cs="仿宋"/>
          <w:b/>
          <w:bCs w:val="0"/>
          <w:color w:val="auto"/>
          <w:kern w:val="2"/>
          <w:sz w:val="32"/>
          <w:szCs w:val="32"/>
          <w:highlight w:val="none"/>
          <w:lang w:val="en-US" w:eastAsia="zh-CN" w:bidi="ar"/>
        </w:rPr>
        <w:t>正本</w:t>
      </w:r>
      <w:r>
        <w:rPr>
          <w:rFonts w:hint="default" w:ascii="Times New Roman" w:hAnsi="Times New Roman" w:eastAsia="仿宋" w:cs="Times New Roman"/>
          <w:b/>
          <w:bCs w:val="0"/>
          <w:color w:val="auto"/>
          <w:kern w:val="2"/>
          <w:sz w:val="32"/>
          <w:szCs w:val="32"/>
          <w:highlight w:val="none"/>
          <w:lang w:val="en-US" w:eastAsia="zh-CN" w:bidi="ar"/>
        </w:rPr>
        <w:t>/</w:t>
      </w:r>
      <w:r>
        <w:rPr>
          <w:rFonts w:hint="eastAsia" w:ascii="仿宋" w:hAnsi="仿宋" w:eastAsia="仿宋" w:cs="仿宋"/>
          <w:b/>
          <w:bCs w:val="0"/>
          <w:color w:val="auto"/>
          <w:kern w:val="2"/>
          <w:sz w:val="32"/>
          <w:szCs w:val="32"/>
          <w:highlight w:val="none"/>
          <w:lang w:val="en-US" w:eastAsia="zh-CN" w:bidi="ar"/>
        </w:rPr>
        <w:t>副本</w:t>
      </w:r>
    </w:p>
    <w:p w14:paraId="5450583D">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72FFCA18">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36865643">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119573A4">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6AEBEE98">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16C2B1F1">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4F71DF9C">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52"/>
          <w:szCs w:val="52"/>
          <w:highlight w:val="none"/>
        </w:rPr>
      </w:pPr>
      <w:r>
        <w:rPr>
          <w:rFonts w:hint="eastAsia" w:ascii="Times New Roman" w:hAnsi="Times New Roman" w:eastAsia="仿宋" w:cs="Times New Roman"/>
          <w:b/>
          <w:bCs w:val="0"/>
          <w:color w:val="auto"/>
          <w:kern w:val="2"/>
          <w:sz w:val="52"/>
          <w:szCs w:val="52"/>
          <w:highlight w:val="none"/>
          <w:lang w:val="en-US" w:eastAsia="zh-CN" w:bidi="ar"/>
        </w:rPr>
        <w:t xml:space="preserve"> </w:t>
      </w:r>
    </w:p>
    <w:p w14:paraId="58A740B1">
      <w:pPr>
        <w:keepNext w:val="0"/>
        <w:keepLines w:val="0"/>
        <w:widowControl w:val="0"/>
        <w:suppressLineNumbers w:val="0"/>
        <w:autoSpaceDE w:val="0"/>
        <w:autoSpaceDN/>
        <w:spacing w:before="0" w:beforeAutospacing="0" w:after="0" w:afterAutospacing="0" w:line="360" w:lineRule="auto"/>
        <w:ind w:left="0" w:right="0" w:firstLine="0" w:firstLineChars="0"/>
        <w:jc w:val="center"/>
        <w:rPr>
          <w:rFonts w:hint="eastAsia" w:ascii="Times New Roman" w:hAnsi="Times New Roman" w:eastAsia="仿宋" w:cs="Times New Roman"/>
          <w:b/>
          <w:bCs w:val="0"/>
          <w:color w:val="auto"/>
          <w:kern w:val="2"/>
          <w:sz w:val="52"/>
          <w:szCs w:val="52"/>
          <w:highlight w:val="none"/>
        </w:rPr>
      </w:pPr>
      <w:r>
        <w:rPr>
          <w:rFonts w:hint="eastAsia" w:ascii="仿宋" w:hAnsi="仿宋" w:eastAsia="仿宋" w:cs="仿宋"/>
          <w:b/>
          <w:bCs w:val="0"/>
          <w:color w:val="auto"/>
          <w:kern w:val="2"/>
          <w:sz w:val="52"/>
          <w:szCs w:val="52"/>
          <w:highlight w:val="none"/>
          <w:lang w:val="en-US" w:eastAsia="zh-CN" w:bidi="ar"/>
        </w:rPr>
        <w:t>技术、商务及其他文件</w:t>
      </w:r>
    </w:p>
    <w:p w14:paraId="3D5161F7">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1C1E3DCD">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01EE861F">
      <w:pPr>
        <w:keepNext w:val="0"/>
        <w:keepLines w:val="0"/>
        <w:widowControl w:val="0"/>
        <w:suppressLineNumbers w:val="0"/>
        <w:autoSpaceDE w:val="0"/>
        <w:autoSpaceDN/>
        <w:spacing w:before="0" w:beforeAutospacing="0" w:after="0" w:afterAutospacing="0" w:line="360" w:lineRule="auto"/>
        <w:ind w:left="0" w:leftChars="0" w:right="0" w:firstLine="0" w:firstLineChars="0"/>
        <w:jc w:val="both"/>
        <w:rPr>
          <w:rFonts w:hint="default" w:ascii="Times New Roman" w:hAnsi="Times New Roman" w:eastAsia="仿宋" w:cs="Times New Roman"/>
          <w:b/>
          <w:bCs w:val="0"/>
          <w:color w:val="auto"/>
          <w:kern w:val="2"/>
          <w:sz w:val="32"/>
          <w:szCs w:val="32"/>
          <w:highlight w:val="none"/>
        </w:rPr>
      </w:pPr>
      <w:r>
        <w:rPr>
          <w:rFonts w:hint="default" w:ascii="Times New Roman" w:hAnsi="Times New Roman" w:eastAsia="仿宋" w:cs="Times New Roman"/>
          <w:b/>
          <w:bCs w:val="0"/>
          <w:color w:val="auto"/>
          <w:kern w:val="2"/>
          <w:sz w:val="32"/>
          <w:szCs w:val="32"/>
          <w:highlight w:val="none"/>
          <w:lang w:val="en-US" w:eastAsia="zh-CN" w:bidi="ar"/>
        </w:rPr>
        <w:t xml:space="preserve"> </w:t>
      </w:r>
    </w:p>
    <w:p w14:paraId="1B9D83E5">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4070EFF2">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35952E35">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bidi="ar"/>
        </w:rPr>
        <w:t>项目名称：</w:t>
      </w:r>
    </w:p>
    <w:p w14:paraId="7A4FA66D">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bidi="ar"/>
        </w:rPr>
        <w:t>项目编号：</w:t>
      </w:r>
    </w:p>
    <w:p w14:paraId="05279273">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bidi="ar"/>
        </w:rPr>
        <w:t>投标人名称：</w:t>
      </w:r>
    </w:p>
    <w:p w14:paraId="476BFD07">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bidi="ar"/>
        </w:rPr>
        <w:t>投标人地址：</w:t>
      </w:r>
    </w:p>
    <w:p w14:paraId="604FDD9C">
      <w:pPr>
        <w:keepNext w:val="0"/>
        <w:keepLines w:val="0"/>
        <w:widowControl w:val="0"/>
        <w:suppressLineNumbers w:val="0"/>
        <w:autoSpaceDE w:val="0"/>
        <w:autoSpaceDN/>
        <w:spacing w:before="0" w:beforeAutospacing="0" w:after="0" w:afterAutospacing="0" w:line="360" w:lineRule="auto"/>
        <w:ind w:left="0" w:right="0" w:firstLine="0" w:firstLineChars="0"/>
        <w:jc w:val="both"/>
        <w:outlineLvl w:val="0"/>
        <w:rPr>
          <w:rFonts w:hint="eastAsia" w:ascii="Times New Roman" w:hAnsi="Times New Roman" w:eastAsia="仿宋" w:cs="Times New Roman"/>
          <w:b/>
          <w:bCs w:val="0"/>
          <w:color w:val="auto"/>
          <w:kern w:val="2"/>
          <w:sz w:val="32"/>
          <w:szCs w:val="32"/>
          <w:highlight w:val="none"/>
        </w:rPr>
      </w:pPr>
      <w:r>
        <w:rPr>
          <w:rFonts w:hint="eastAsia" w:ascii="仿宋" w:hAnsi="仿宋" w:eastAsia="仿宋" w:cs="仿宋"/>
          <w:b/>
          <w:bCs w:val="0"/>
          <w:color w:val="auto"/>
          <w:kern w:val="2"/>
          <w:sz w:val="32"/>
          <w:szCs w:val="32"/>
          <w:highlight w:val="none"/>
          <w:lang w:val="en-US" w:eastAsia="zh-CN" w:bidi="ar"/>
        </w:rPr>
        <w:t>在</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年</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月</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日</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时</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分之前不得启封</w:t>
      </w:r>
    </w:p>
    <w:p w14:paraId="651B3DCD">
      <w:pPr>
        <w:keepNext w:val="0"/>
        <w:keepLines w:val="0"/>
        <w:widowControl w:val="0"/>
        <w:suppressLineNumbers w:val="0"/>
        <w:autoSpaceDE w:val="0"/>
        <w:autoSpaceDN/>
        <w:spacing w:before="0" w:beforeAutospacing="0" w:after="0" w:afterAutospacing="0" w:line="360" w:lineRule="auto"/>
        <w:ind w:left="0" w:right="0" w:firstLine="0" w:firstLineChars="0"/>
        <w:jc w:val="both"/>
        <w:rPr>
          <w:rFonts w:hint="eastAsia" w:ascii="Times New Roman" w:hAnsi="Times New Roman" w:eastAsia="仿宋" w:cs="Times New Roman"/>
          <w:b/>
          <w:bCs w:val="0"/>
          <w:color w:val="auto"/>
          <w:kern w:val="2"/>
          <w:sz w:val="32"/>
          <w:szCs w:val="32"/>
          <w:highlight w:val="none"/>
        </w:rPr>
      </w:pPr>
      <w:r>
        <w:rPr>
          <w:rFonts w:hint="eastAsia" w:ascii="Times New Roman" w:hAnsi="Times New Roman" w:eastAsia="仿宋" w:cs="Times New Roman"/>
          <w:b/>
          <w:bCs w:val="0"/>
          <w:color w:val="auto"/>
          <w:kern w:val="2"/>
          <w:sz w:val="32"/>
          <w:szCs w:val="32"/>
          <w:highlight w:val="none"/>
          <w:lang w:val="en-US" w:eastAsia="zh-CN" w:bidi="ar"/>
        </w:rPr>
        <w:t xml:space="preserve"> </w:t>
      </w:r>
    </w:p>
    <w:p w14:paraId="44388308">
      <w:pPr>
        <w:keepNext w:val="0"/>
        <w:keepLines w:val="0"/>
        <w:widowControl w:val="0"/>
        <w:suppressLineNumbers w:val="0"/>
        <w:spacing w:before="0" w:beforeAutospacing="0" w:after="0" w:afterAutospacing="0" w:line="360" w:lineRule="auto"/>
        <w:ind w:left="0" w:right="0" w:firstLine="643" w:firstLineChars="200"/>
        <w:jc w:val="both"/>
        <w:rPr>
          <w:rFonts w:hint="eastAsia" w:eastAsia="仿宋"/>
          <w:b/>
          <w:color w:val="auto"/>
          <w:sz w:val="30"/>
          <w:szCs w:val="22"/>
          <w:highlight w:val="none"/>
          <w:lang w:val="en-US" w:eastAsia="zh-CN"/>
        </w:rPr>
      </w:pP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年</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月</w:t>
      </w:r>
      <w:r>
        <w:rPr>
          <w:rFonts w:hint="eastAsia" w:ascii="Times New Roman" w:hAnsi="Times New Roman" w:eastAsia="仿宋" w:cs="Times New Roman"/>
          <w:b/>
          <w:bCs w:val="0"/>
          <w:color w:val="auto"/>
          <w:kern w:val="2"/>
          <w:sz w:val="32"/>
          <w:szCs w:val="32"/>
          <w:highlight w:val="none"/>
          <w:lang w:val="en-US" w:eastAsia="zh-CN" w:bidi="ar"/>
        </w:rPr>
        <w:t xml:space="preserve">  </w:t>
      </w:r>
      <w:r>
        <w:rPr>
          <w:rFonts w:hint="eastAsia" w:ascii="仿宋" w:hAnsi="仿宋" w:eastAsia="仿宋" w:cs="仿宋"/>
          <w:b/>
          <w:bCs w:val="0"/>
          <w:color w:val="auto"/>
          <w:kern w:val="2"/>
          <w:sz w:val="32"/>
          <w:szCs w:val="32"/>
          <w:highlight w:val="none"/>
          <w:lang w:val="en-US" w:eastAsia="zh-CN" w:bidi="ar"/>
        </w:rPr>
        <w:t>日</w:t>
      </w:r>
      <w:r>
        <w:rPr>
          <w:rFonts w:hint="eastAsia" w:eastAsia="仿宋"/>
          <w:b/>
          <w:color w:val="auto"/>
          <w:sz w:val="30"/>
          <w:szCs w:val="22"/>
          <w:highlight w:val="none"/>
          <w:lang w:val="en-US" w:eastAsia="zh-CN"/>
        </w:rPr>
        <w:br w:type="page"/>
      </w:r>
    </w:p>
    <w:p w14:paraId="1C9A4637">
      <w:pPr>
        <w:keepNext/>
        <w:keepLines/>
        <w:ind w:firstLine="602"/>
        <w:jc w:val="center"/>
        <w:outlineLvl w:val="1"/>
        <w:rPr>
          <w:rFonts w:eastAsia="仿宋"/>
          <w:b/>
          <w:color w:val="auto"/>
          <w:sz w:val="30"/>
          <w:szCs w:val="22"/>
          <w:highlight w:val="none"/>
        </w:rPr>
      </w:pPr>
      <w:r>
        <w:rPr>
          <w:rFonts w:hint="eastAsia" w:eastAsia="仿宋"/>
          <w:b/>
          <w:color w:val="auto"/>
          <w:sz w:val="30"/>
          <w:szCs w:val="22"/>
          <w:highlight w:val="none"/>
        </w:rPr>
        <w:t>评分索引表</w:t>
      </w:r>
    </w:p>
    <w:tbl>
      <w:tblPr>
        <w:tblStyle w:val="20"/>
        <w:tblW w:w="0" w:type="auto"/>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98"/>
        <w:gridCol w:w="2456"/>
        <w:gridCol w:w="2324"/>
      </w:tblGrid>
      <w:tr w14:paraId="2DA32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4098" w:type="dxa"/>
            <w:tcBorders>
              <w:top w:val="single" w:color="auto" w:sz="4" w:space="0"/>
              <w:bottom w:val="single" w:color="auto" w:sz="4" w:space="0"/>
              <w:right w:val="single" w:color="auto" w:sz="4" w:space="0"/>
            </w:tcBorders>
            <w:vAlign w:val="center"/>
          </w:tcPr>
          <w:p w14:paraId="7F546615">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eastAsia="宋体"/>
                <w:color w:val="auto"/>
                <w:highlight w:val="none"/>
              </w:rPr>
            </w:pPr>
            <w:r>
              <w:rPr>
                <w:rFonts w:hint="eastAsia" w:eastAsia="宋体"/>
                <w:color w:val="auto"/>
                <w:highlight w:val="none"/>
              </w:rPr>
              <w:t>评分项目</w:t>
            </w:r>
          </w:p>
        </w:tc>
        <w:tc>
          <w:tcPr>
            <w:tcW w:w="2456" w:type="dxa"/>
            <w:tcBorders>
              <w:top w:val="single" w:color="auto" w:sz="4" w:space="0"/>
              <w:left w:val="single" w:color="auto" w:sz="4" w:space="0"/>
              <w:bottom w:val="single" w:color="auto" w:sz="4" w:space="0"/>
              <w:right w:val="single" w:color="auto" w:sz="4" w:space="0"/>
            </w:tcBorders>
            <w:vAlign w:val="center"/>
          </w:tcPr>
          <w:p w14:paraId="1D561D63">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eastAsia="宋体"/>
                <w:color w:val="auto"/>
                <w:highlight w:val="none"/>
              </w:rPr>
            </w:pPr>
            <w:r>
              <w:rPr>
                <w:rFonts w:hint="eastAsia" w:eastAsia="宋体"/>
                <w:color w:val="auto"/>
                <w:highlight w:val="none"/>
              </w:rPr>
              <w:t>自评分</w:t>
            </w:r>
          </w:p>
        </w:tc>
        <w:tc>
          <w:tcPr>
            <w:tcW w:w="2324" w:type="dxa"/>
            <w:tcBorders>
              <w:top w:val="single" w:color="auto" w:sz="4" w:space="0"/>
              <w:left w:val="single" w:color="auto" w:sz="4" w:space="0"/>
              <w:bottom w:val="single" w:color="auto" w:sz="4" w:space="0"/>
            </w:tcBorders>
            <w:vAlign w:val="center"/>
          </w:tcPr>
          <w:p w14:paraId="2648070F">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eastAsia="宋体"/>
                <w:color w:val="auto"/>
                <w:highlight w:val="none"/>
              </w:rPr>
            </w:pPr>
            <w:r>
              <w:rPr>
                <w:rFonts w:hint="eastAsia" w:eastAsia="宋体"/>
                <w:color w:val="auto"/>
                <w:highlight w:val="none"/>
              </w:rPr>
              <w:t>响应文件页码</w:t>
            </w:r>
          </w:p>
        </w:tc>
      </w:tr>
      <w:tr w14:paraId="437580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4" w:hRule="atLeast"/>
        </w:trPr>
        <w:tc>
          <w:tcPr>
            <w:tcW w:w="4098" w:type="dxa"/>
            <w:tcBorders>
              <w:top w:val="single" w:color="auto" w:sz="4" w:space="0"/>
              <w:bottom w:val="single" w:color="auto" w:sz="4" w:space="0"/>
              <w:right w:val="single" w:color="auto" w:sz="4" w:space="0"/>
            </w:tcBorders>
            <w:vAlign w:val="center"/>
          </w:tcPr>
          <w:p w14:paraId="7B7FD53D">
            <w:pPr>
              <w:keepNext w:val="0"/>
              <w:keepLines w:val="0"/>
              <w:suppressLineNumbers w:val="0"/>
              <w:tabs>
                <w:tab w:val="left" w:pos="2996"/>
              </w:tabs>
              <w:spacing w:before="0" w:beforeAutospacing="0" w:after="0" w:afterAutospacing="0" w:line="540" w:lineRule="exact"/>
              <w:ind w:left="0" w:right="0" w:firstLine="0" w:firstLineChars="0"/>
              <w:jc w:val="center"/>
              <w:rPr>
                <w:rFonts w:hint="eastAsia"/>
                <w:color w:val="auto"/>
                <w:highlight w:val="none"/>
                <w:lang w:val="en-US" w:eastAsia="zh-CN"/>
              </w:rPr>
            </w:pPr>
            <w:r>
              <w:rPr>
                <w:rFonts w:hint="eastAsia" w:eastAsia="宋体"/>
                <w:color w:val="auto"/>
                <w:highlight w:val="none"/>
              </w:rPr>
              <w:t>对应</w:t>
            </w:r>
            <w:r>
              <w:rPr>
                <w:rFonts w:hint="eastAsia"/>
                <w:color w:val="auto"/>
                <w:highlight w:val="none"/>
                <w:lang w:val="en-US" w:eastAsia="zh-CN"/>
              </w:rPr>
              <w:t>评标办法部分</w:t>
            </w:r>
          </w:p>
          <w:p w14:paraId="621393C1">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eastAsia="宋体"/>
                <w:color w:val="auto"/>
                <w:highlight w:val="none"/>
              </w:rPr>
            </w:pPr>
            <w:r>
              <w:rPr>
                <w:rFonts w:hint="eastAsia" w:eastAsia="宋体"/>
                <w:color w:val="auto"/>
                <w:highlight w:val="none"/>
              </w:rPr>
              <w:t>（报价除外）</w:t>
            </w:r>
          </w:p>
        </w:tc>
        <w:tc>
          <w:tcPr>
            <w:tcW w:w="2456" w:type="dxa"/>
            <w:tcBorders>
              <w:top w:val="single" w:color="auto" w:sz="4" w:space="0"/>
              <w:left w:val="single" w:color="auto" w:sz="4" w:space="0"/>
              <w:bottom w:val="single" w:color="auto" w:sz="4" w:space="0"/>
              <w:right w:val="single" w:color="auto" w:sz="4" w:space="0"/>
            </w:tcBorders>
            <w:vAlign w:val="center"/>
          </w:tcPr>
          <w:p w14:paraId="6282687D">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279D1616">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348379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0014F568">
            <w:pPr>
              <w:keepNext w:val="0"/>
              <w:keepLines w:val="0"/>
              <w:suppressLineNumbers w:val="0"/>
              <w:tabs>
                <w:tab w:val="left" w:pos="2996"/>
              </w:tabs>
              <w:spacing w:before="0" w:beforeAutospacing="0" w:after="0" w:afterAutospacing="0" w:line="540" w:lineRule="exact"/>
              <w:ind w:left="0" w:right="0" w:firstLine="0" w:firstLineChars="0"/>
              <w:jc w:val="center"/>
              <w:rPr>
                <w:rFonts w:hint="default" w:eastAsia="宋体"/>
                <w:color w:val="auto"/>
                <w:highlight w:val="none"/>
              </w:rPr>
            </w:pPr>
            <w:r>
              <w:rPr>
                <w:rFonts w:hint="eastAsia" w:eastAsia="宋体"/>
                <w:color w:val="auto"/>
                <w:highlight w:val="none"/>
              </w:rPr>
              <w:t>……</w:t>
            </w:r>
          </w:p>
        </w:tc>
        <w:tc>
          <w:tcPr>
            <w:tcW w:w="2456" w:type="dxa"/>
            <w:tcBorders>
              <w:top w:val="single" w:color="auto" w:sz="4" w:space="0"/>
              <w:left w:val="single" w:color="auto" w:sz="4" w:space="0"/>
              <w:bottom w:val="single" w:color="auto" w:sz="4" w:space="0"/>
              <w:right w:val="single" w:color="auto" w:sz="4" w:space="0"/>
            </w:tcBorders>
            <w:vAlign w:val="center"/>
          </w:tcPr>
          <w:p w14:paraId="044B28A3">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4D30205F">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0AB6F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413E6541">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07C3BDCD">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2E6D094C">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1D13A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2DC48749">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4EC592B2">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49682982">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72F04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38024342">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418A0EBE">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31FA01A4">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0CA8F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147BB499">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4C6AAC09">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399BFB5D">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198A8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4F181DA6">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0383F1B2">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55023203">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2630B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4098" w:type="dxa"/>
            <w:tcBorders>
              <w:top w:val="single" w:color="auto" w:sz="4" w:space="0"/>
              <w:bottom w:val="single" w:color="auto" w:sz="4" w:space="0"/>
              <w:right w:val="single" w:color="auto" w:sz="4" w:space="0"/>
            </w:tcBorders>
            <w:vAlign w:val="center"/>
          </w:tcPr>
          <w:p w14:paraId="2D250B42">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5136EFA7">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0AE4F015">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r w14:paraId="68A3DF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098" w:type="dxa"/>
            <w:tcBorders>
              <w:top w:val="single" w:color="auto" w:sz="4" w:space="0"/>
              <w:bottom w:val="single" w:color="auto" w:sz="4" w:space="0"/>
              <w:right w:val="single" w:color="auto" w:sz="4" w:space="0"/>
            </w:tcBorders>
            <w:vAlign w:val="center"/>
          </w:tcPr>
          <w:p w14:paraId="024CAB73">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456" w:type="dxa"/>
            <w:tcBorders>
              <w:top w:val="single" w:color="auto" w:sz="4" w:space="0"/>
              <w:left w:val="single" w:color="auto" w:sz="4" w:space="0"/>
              <w:bottom w:val="single" w:color="auto" w:sz="4" w:space="0"/>
              <w:right w:val="single" w:color="auto" w:sz="4" w:space="0"/>
            </w:tcBorders>
            <w:vAlign w:val="center"/>
          </w:tcPr>
          <w:p w14:paraId="1577A4B5">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c>
          <w:tcPr>
            <w:tcW w:w="2324" w:type="dxa"/>
            <w:tcBorders>
              <w:top w:val="single" w:color="auto" w:sz="4" w:space="0"/>
              <w:left w:val="single" w:color="auto" w:sz="4" w:space="0"/>
              <w:bottom w:val="single" w:color="auto" w:sz="4" w:space="0"/>
            </w:tcBorders>
            <w:vAlign w:val="center"/>
          </w:tcPr>
          <w:p w14:paraId="15EABC18">
            <w:pPr>
              <w:keepNext w:val="0"/>
              <w:keepLines w:val="0"/>
              <w:suppressLineNumbers w:val="0"/>
              <w:tabs>
                <w:tab w:val="left" w:pos="2996"/>
              </w:tabs>
              <w:spacing w:before="0" w:beforeAutospacing="0" w:after="0" w:afterAutospacing="0" w:line="540" w:lineRule="exact"/>
              <w:ind w:left="0" w:right="0" w:firstLine="480"/>
              <w:jc w:val="center"/>
              <w:rPr>
                <w:rFonts w:hint="default" w:eastAsia="宋体"/>
                <w:color w:val="auto"/>
                <w:highlight w:val="none"/>
              </w:rPr>
            </w:pPr>
          </w:p>
        </w:tc>
      </w:tr>
    </w:tbl>
    <w:p w14:paraId="11F74648">
      <w:pPr>
        <w:ind w:firstLine="0" w:firstLineChars="0"/>
        <w:rPr>
          <w:rFonts w:eastAsia="宋体"/>
          <w:color w:val="auto"/>
          <w:highlight w:val="none"/>
        </w:rPr>
      </w:pPr>
    </w:p>
    <w:p w14:paraId="6674F651">
      <w:pPr>
        <w:ind w:firstLine="0" w:firstLineChars="0"/>
        <w:rPr>
          <w:rFonts w:eastAsia="宋体"/>
          <w:color w:val="auto"/>
          <w:highlight w:val="none"/>
        </w:rPr>
      </w:pPr>
      <w:r>
        <w:rPr>
          <w:rFonts w:hint="eastAsia" w:eastAsia="宋体"/>
          <w:color w:val="auto"/>
          <w:highlight w:val="none"/>
        </w:rPr>
        <w:t>法定代表人或授权代表签字：</w:t>
      </w:r>
    </w:p>
    <w:p w14:paraId="501C6E8E">
      <w:pPr>
        <w:ind w:firstLine="0" w:firstLineChars="0"/>
        <w:rPr>
          <w:rFonts w:eastAsia="宋体"/>
          <w:color w:val="auto"/>
          <w:highlight w:val="none"/>
        </w:rPr>
      </w:pPr>
    </w:p>
    <w:p w14:paraId="748ACAF4">
      <w:pPr>
        <w:ind w:firstLine="0" w:firstLineChars="0"/>
        <w:rPr>
          <w:rFonts w:eastAsia="宋体"/>
          <w:color w:val="auto"/>
          <w:highlight w:val="none"/>
        </w:rPr>
      </w:pPr>
      <w:r>
        <w:rPr>
          <w:rFonts w:hint="eastAsia" w:eastAsia="宋体"/>
          <w:color w:val="auto"/>
          <w:highlight w:val="none"/>
        </w:rPr>
        <w:t>投标人全称公章：</w:t>
      </w:r>
    </w:p>
    <w:p w14:paraId="6F22D616">
      <w:pPr>
        <w:widowControl w:val="0"/>
        <w:spacing w:line="360" w:lineRule="auto"/>
        <w:ind w:firstLine="360" w:firstLineChars="200"/>
        <w:jc w:val="both"/>
        <w:rPr>
          <w:rFonts w:ascii="Times New Roman" w:hAnsi="Times New Roman" w:eastAsia="宋体" w:cs="Times New Roman"/>
          <w:color w:val="auto"/>
          <w:kern w:val="2"/>
          <w:sz w:val="18"/>
          <w:szCs w:val="18"/>
          <w:highlight w:val="none"/>
          <w:lang w:val="en-US" w:eastAsia="zh-CN" w:bidi="ar-SA"/>
        </w:rPr>
      </w:pPr>
    </w:p>
    <w:p w14:paraId="51AB28BB">
      <w:pPr>
        <w:rPr>
          <w:rFonts w:hint="eastAsia" w:eastAsia="仿宋"/>
          <w:b/>
          <w:color w:val="auto"/>
          <w:sz w:val="30"/>
          <w:szCs w:val="22"/>
          <w:highlight w:val="none"/>
          <w:lang w:val="en-US" w:eastAsia="zh-CN"/>
        </w:rPr>
      </w:pPr>
      <w:r>
        <w:rPr>
          <w:rFonts w:hint="eastAsia" w:eastAsia="宋体"/>
          <w:color w:val="auto"/>
          <w:szCs w:val="22"/>
          <w:highlight w:val="none"/>
          <w:lang w:eastAsia="zh-Hans"/>
        </w:rPr>
        <w:t>日期：    年  月  日</w:t>
      </w:r>
      <w:r>
        <w:rPr>
          <w:rFonts w:hint="eastAsia" w:eastAsia="宋体"/>
          <w:color w:val="auto"/>
          <w:szCs w:val="22"/>
          <w:highlight w:val="none"/>
          <w:lang w:eastAsia="zh-Hans"/>
        </w:rPr>
        <w:br w:type="page"/>
      </w:r>
    </w:p>
    <w:p w14:paraId="2AF78D5E">
      <w:pPr>
        <w:keepNext/>
        <w:keepLines/>
        <w:ind w:firstLine="602"/>
        <w:jc w:val="center"/>
        <w:outlineLvl w:val="1"/>
        <w:rPr>
          <w:rFonts w:eastAsia="仿宋"/>
          <w:b/>
          <w:color w:val="auto"/>
          <w:sz w:val="30"/>
          <w:szCs w:val="22"/>
          <w:highlight w:val="none"/>
          <w:lang w:eastAsia="zh-Hans"/>
        </w:rPr>
      </w:pPr>
      <w:r>
        <w:rPr>
          <w:rFonts w:hint="eastAsia" w:eastAsia="仿宋"/>
          <w:b/>
          <w:color w:val="auto"/>
          <w:sz w:val="30"/>
          <w:szCs w:val="22"/>
          <w:highlight w:val="none"/>
          <w:lang w:eastAsia="zh-Hans"/>
        </w:rPr>
        <w:t>投标声明书</w:t>
      </w:r>
    </w:p>
    <w:p w14:paraId="72E8F0F8">
      <w:pPr>
        <w:ind w:firstLine="0" w:firstLineChars="0"/>
        <w:rPr>
          <w:color w:val="auto"/>
          <w:szCs w:val="22"/>
          <w:highlight w:val="none"/>
        </w:rPr>
      </w:pPr>
    </w:p>
    <w:p w14:paraId="7FAD8E2D">
      <w:pPr>
        <w:ind w:firstLine="0" w:firstLineChars="0"/>
        <w:rPr>
          <w:color w:val="auto"/>
          <w:szCs w:val="22"/>
          <w:highlight w:val="none"/>
        </w:rPr>
      </w:pPr>
      <w:r>
        <w:rPr>
          <w:rFonts w:hint="eastAsia"/>
          <w:color w:val="auto"/>
          <w:szCs w:val="22"/>
          <w:highlight w:val="none"/>
        </w:rPr>
        <w:t>致</w:t>
      </w:r>
      <w:r>
        <w:rPr>
          <w:rFonts w:hint="eastAsia"/>
          <w:color w:val="auto"/>
          <w:szCs w:val="22"/>
          <w:highlight w:val="none"/>
          <w:lang w:val="en-US" w:eastAsia="zh-CN"/>
        </w:rPr>
        <w:t>湖州学院</w:t>
      </w:r>
      <w:r>
        <w:rPr>
          <w:rFonts w:hint="eastAsia"/>
          <w:color w:val="auto"/>
          <w:szCs w:val="22"/>
          <w:highlight w:val="none"/>
        </w:rPr>
        <w:t>：</w:t>
      </w:r>
    </w:p>
    <w:p w14:paraId="1F029F56">
      <w:pPr>
        <w:ind w:firstLine="577" w:firstLineChars="275"/>
        <w:rPr>
          <w:color w:val="auto"/>
          <w:szCs w:val="22"/>
          <w:highlight w:val="none"/>
        </w:rPr>
      </w:pPr>
      <w:r>
        <w:rPr>
          <w:rFonts w:hint="eastAsia" w:ascii="微软雅黑" w:hAnsi="微软雅黑" w:cs="微软雅黑"/>
          <w:bCs/>
          <w:color w:val="auto"/>
          <w:szCs w:val="22"/>
          <w:highlight w:val="none"/>
          <w:u w:val="none"/>
          <w:lang w:val="en-US" w:eastAsia="zh-CN"/>
        </w:rPr>
        <w:t>本人</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（姓名）</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身份证号：</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u w:val="none"/>
          <w:lang w:val="en-US" w:eastAsia="zh-CN"/>
        </w:rPr>
        <w:t>，</w:t>
      </w:r>
      <w:r>
        <w:rPr>
          <w:rFonts w:hint="eastAsia" w:ascii="微软雅黑" w:hAnsi="微软雅黑" w:cs="微软雅黑"/>
          <w:bCs/>
          <w:color w:val="auto"/>
          <w:szCs w:val="22"/>
          <w:highlight w:val="none"/>
        </w:rPr>
        <w:t>系</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w:t>
      </w:r>
      <w:r>
        <w:rPr>
          <w:rFonts w:hint="eastAsia" w:ascii="微软雅黑" w:hAnsi="微软雅黑" w:cs="微软雅黑"/>
          <w:bCs/>
          <w:color w:val="auto"/>
          <w:szCs w:val="22"/>
          <w:highlight w:val="none"/>
          <w:lang w:val="en-US" w:eastAsia="zh-CN"/>
        </w:rPr>
        <w:t>供应商</w:t>
      </w:r>
      <w:r>
        <w:rPr>
          <w:rFonts w:hint="eastAsia" w:ascii="微软雅黑" w:hAnsi="微软雅黑" w:cs="微软雅黑"/>
          <w:bCs/>
          <w:color w:val="auto"/>
          <w:szCs w:val="22"/>
          <w:highlight w:val="none"/>
        </w:rPr>
        <w:t>名称）的法定代表人</w:t>
      </w:r>
      <w:r>
        <w:rPr>
          <w:rFonts w:hint="eastAsia"/>
          <w:color w:val="auto"/>
          <w:szCs w:val="22"/>
          <w:highlight w:val="none"/>
        </w:rPr>
        <w:t>，我方愿意参加贵方组织的投标</w:t>
      </w:r>
      <w:r>
        <w:rPr>
          <w:rFonts w:hint="eastAsia"/>
          <w:color w:val="auto"/>
          <w:szCs w:val="22"/>
          <w:highlight w:val="none"/>
          <w:lang w:eastAsia="zh-CN"/>
        </w:rPr>
        <w:t>（</w:t>
      </w:r>
      <w:r>
        <w:rPr>
          <w:rFonts w:hint="eastAsia"/>
          <w:color w:val="auto"/>
          <w:szCs w:val="22"/>
          <w:highlight w:val="none"/>
          <w:lang w:val="en-US" w:eastAsia="zh-CN"/>
        </w:rPr>
        <w:t>编号：</w:t>
      </w:r>
      <w:r>
        <w:rPr>
          <w:rFonts w:hint="eastAsia"/>
          <w:color w:val="auto"/>
          <w:szCs w:val="22"/>
          <w:highlight w:val="none"/>
          <w:u w:val="single"/>
          <w:lang w:val="en-US" w:eastAsia="zh-CN"/>
        </w:rPr>
        <w:t xml:space="preserve">           </w:t>
      </w:r>
      <w:r>
        <w:rPr>
          <w:rFonts w:hint="eastAsia"/>
          <w:color w:val="auto"/>
          <w:szCs w:val="22"/>
          <w:highlight w:val="none"/>
          <w:lang w:val="en-US" w:eastAsia="zh-CN"/>
        </w:rPr>
        <w:t>，名称：</w:t>
      </w:r>
      <w:r>
        <w:rPr>
          <w:rFonts w:hint="eastAsia"/>
          <w:color w:val="auto"/>
          <w:szCs w:val="22"/>
          <w:highlight w:val="none"/>
          <w:u w:val="single"/>
          <w:lang w:val="en-US" w:eastAsia="zh-CN"/>
        </w:rPr>
        <w:t xml:space="preserve">                  </w:t>
      </w:r>
      <w:r>
        <w:rPr>
          <w:rFonts w:hint="eastAsia"/>
          <w:color w:val="auto"/>
          <w:szCs w:val="22"/>
          <w:highlight w:val="none"/>
          <w:lang w:val="en-US" w:eastAsia="zh-CN"/>
        </w:rPr>
        <w:t>，</w:t>
      </w:r>
      <w:r>
        <w:rPr>
          <w:rFonts w:hint="eastAsia"/>
          <w:color w:val="auto"/>
          <w:szCs w:val="22"/>
          <w:highlight w:val="none"/>
        </w:rPr>
        <w:t>，为便于贵方公正、择优地确定中标人及其投标项目的招标，我方就本次投标有关事项郑重声明如下：</w:t>
      </w:r>
    </w:p>
    <w:p w14:paraId="00425EBD">
      <w:pPr>
        <w:ind w:firstLine="420" w:firstLineChars="0"/>
        <w:rPr>
          <w:color w:val="auto"/>
          <w:szCs w:val="22"/>
          <w:highlight w:val="none"/>
        </w:rPr>
      </w:pPr>
      <w:r>
        <w:rPr>
          <w:rFonts w:hint="eastAsia"/>
          <w:color w:val="auto"/>
          <w:szCs w:val="22"/>
          <w:highlight w:val="none"/>
        </w:rPr>
        <w:t>1</w:t>
      </w:r>
      <w:r>
        <w:rPr>
          <w:rFonts w:hint="eastAsia"/>
          <w:color w:val="auto"/>
          <w:szCs w:val="22"/>
          <w:highlight w:val="none"/>
          <w:lang w:val="en-US" w:eastAsia="zh-CN"/>
        </w:rPr>
        <w:t>.</w:t>
      </w:r>
      <w:r>
        <w:rPr>
          <w:rFonts w:hint="eastAsia"/>
          <w:color w:val="auto"/>
          <w:szCs w:val="22"/>
          <w:highlight w:val="none"/>
        </w:rPr>
        <w:t>我方向贵方提交的所有投标文件、资料都是准确的和真实的；</w:t>
      </w:r>
    </w:p>
    <w:p w14:paraId="2408E4F0">
      <w:pPr>
        <w:ind w:firstLine="420" w:firstLineChars="0"/>
        <w:rPr>
          <w:color w:val="auto"/>
          <w:szCs w:val="22"/>
          <w:highlight w:val="none"/>
        </w:rPr>
      </w:pPr>
      <w:r>
        <w:rPr>
          <w:rFonts w:hint="eastAsia"/>
          <w:color w:val="auto"/>
          <w:szCs w:val="22"/>
          <w:highlight w:val="none"/>
        </w:rPr>
        <w:t>2</w:t>
      </w:r>
      <w:r>
        <w:rPr>
          <w:rFonts w:hint="eastAsia"/>
          <w:color w:val="auto"/>
          <w:szCs w:val="22"/>
          <w:highlight w:val="none"/>
          <w:lang w:val="en-US" w:eastAsia="zh-CN"/>
        </w:rPr>
        <w:t>.</w:t>
      </w:r>
      <w:r>
        <w:rPr>
          <w:rFonts w:hint="eastAsia"/>
          <w:color w:val="auto"/>
          <w:szCs w:val="22"/>
          <w:highlight w:val="none"/>
        </w:rPr>
        <w:t>我方不是</w:t>
      </w:r>
      <w:r>
        <w:rPr>
          <w:rFonts w:hint="eastAsia"/>
          <w:color w:val="auto"/>
          <w:szCs w:val="22"/>
          <w:highlight w:val="none"/>
          <w:lang w:eastAsia="zh-CN"/>
        </w:rPr>
        <w:t>采购人</w:t>
      </w:r>
      <w:r>
        <w:rPr>
          <w:rFonts w:hint="eastAsia"/>
          <w:color w:val="auto"/>
          <w:szCs w:val="22"/>
          <w:highlight w:val="none"/>
        </w:rPr>
        <w:t>的附属机构；在获知本项目招标信息后，与</w:t>
      </w:r>
      <w:r>
        <w:rPr>
          <w:rFonts w:hint="eastAsia"/>
          <w:color w:val="auto"/>
          <w:szCs w:val="22"/>
          <w:highlight w:val="none"/>
          <w:lang w:eastAsia="zh-CN"/>
        </w:rPr>
        <w:t>采购人</w:t>
      </w:r>
      <w:r>
        <w:rPr>
          <w:rFonts w:hint="eastAsia"/>
          <w:color w:val="auto"/>
          <w:szCs w:val="22"/>
          <w:highlight w:val="none"/>
        </w:rPr>
        <w:t>聘请的为此项目提供咨询服务的公司及其附属机构没有任何联系。</w:t>
      </w:r>
    </w:p>
    <w:p w14:paraId="4EEE59E8">
      <w:pPr>
        <w:ind w:firstLine="420" w:firstLineChars="0"/>
        <w:rPr>
          <w:rFonts w:eastAsia="仿宋"/>
          <w:color w:val="auto"/>
          <w:szCs w:val="22"/>
          <w:highlight w:val="none"/>
        </w:rPr>
      </w:pPr>
      <w:r>
        <w:rPr>
          <w:rFonts w:hint="eastAsia"/>
          <w:color w:val="auto"/>
          <w:szCs w:val="22"/>
          <w:highlight w:val="none"/>
          <w:lang w:val="en-US" w:eastAsia="zh-CN"/>
        </w:rPr>
        <w:t>3.</w:t>
      </w:r>
      <w:r>
        <w:rPr>
          <w:rFonts w:hint="eastAsia"/>
          <w:color w:val="auto"/>
          <w:szCs w:val="22"/>
          <w:highlight w:val="none"/>
        </w:rPr>
        <w:t>我方最近三年内的被公开披露或查处的违法违规行为。</w:t>
      </w:r>
    </w:p>
    <w:p w14:paraId="1965A729">
      <w:pPr>
        <w:ind w:firstLine="420" w:firstLineChars="0"/>
        <w:rPr>
          <w:color w:val="auto"/>
          <w:szCs w:val="22"/>
          <w:highlight w:val="none"/>
        </w:rPr>
      </w:pPr>
      <w:r>
        <w:rPr>
          <w:rFonts w:hint="eastAsia"/>
          <w:color w:val="auto"/>
          <w:szCs w:val="22"/>
          <w:highlight w:val="none"/>
          <w:lang w:val="en-US" w:eastAsia="zh-CN"/>
        </w:rPr>
        <w:t>4.</w:t>
      </w:r>
      <w:r>
        <w:rPr>
          <w:rFonts w:hint="eastAsia"/>
          <w:color w:val="auto"/>
          <w:szCs w:val="22"/>
          <w:highlight w:val="none"/>
        </w:rPr>
        <w:t>以上事项如有虚假或隐瞒，我方愿意承担一切后果和责任。</w:t>
      </w:r>
    </w:p>
    <w:p w14:paraId="662BDFAA">
      <w:pPr>
        <w:ind w:firstLine="0" w:firstLineChars="0"/>
        <w:rPr>
          <w:color w:val="auto"/>
          <w:szCs w:val="22"/>
          <w:highlight w:val="none"/>
        </w:rPr>
      </w:pPr>
    </w:p>
    <w:p w14:paraId="32BA9CFA">
      <w:pPr>
        <w:ind w:firstLine="0" w:firstLineChars="0"/>
        <w:rPr>
          <w:color w:val="auto"/>
          <w:szCs w:val="22"/>
          <w:highlight w:val="none"/>
        </w:rPr>
      </w:pPr>
      <w:r>
        <w:rPr>
          <w:rFonts w:hint="eastAsia"/>
          <w:color w:val="auto"/>
          <w:szCs w:val="22"/>
          <w:highlight w:val="none"/>
        </w:rPr>
        <w:t>法定代表人或</w:t>
      </w:r>
      <w:r>
        <w:rPr>
          <w:rFonts w:hint="eastAsia"/>
          <w:color w:val="auto"/>
          <w:szCs w:val="22"/>
          <w:highlight w:val="none"/>
          <w:lang w:eastAsia="zh-CN"/>
        </w:rPr>
        <w:t>授权委托人</w:t>
      </w:r>
      <w:r>
        <w:rPr>
          <w:rFonts w:hint="eastAsia"/>
          <w:color w:val="auto"/>
          <w:szCs w:val="22"/>
          <w:highlight w:val="none"/>
        </w:rPr>
        <w:t>签字：</w:t>
      </w:r>
    </w:p>
    <w:p w14:paraId="52A3CA80">
      <w:pPr>
        <w:ind w:firstLine="0" w:firstLineChars="0"/>
        <w:rPr>
          <w:color w:val="auto"/>
          <w:szCs w:val="22"/>
          <w:highlight w:val="none"/>
        </w:rPr>
      </w:pPr>
    </w:p>
    <w:p w14:paraId="1D822FFF">
      <w:pPr>
        <w:ind w:firstLine="0" w:firstLineChars="0"/>
        <w:rPr>
          <w:color w:val="auto"/>
          <w:szCs w:val="22"/>
          <w:highlight w:val="none"/>
        </w:rPr>
      </w:pPr>
      <w:r>
        <w:rPr>
          <w:rFonts w:hint="eastAsia"/>
          <w:color w:val="auto"/>
          <w:szCs w:val="22"/>
          <w:highlight w:val="none"/>
          <w:lang w:eastAsia="zh-CN"/>
        </w:rPr>
        <w:t>供应商</w:t>
      </w:r>
      <w:r>
        <w:rPr>
          <w:rFonts w:hint="eastAsia"/>
          <w:color w:val="auto"/>
          <w:szCs w:val="22"/>
          <w:highlight w:val="none"/>
        </w:rPr>
        <w:t>全称公章：</w:t>
      </w:r>
    </w:p>
    <w:p w14:paraId="7CF46BA7">
      <w:pPr>
        <w:ind w:firstLine="360"/>
        <w:rPr>
          <w:color w:val="auto"/>
          <w:sz w:val="18"/>
          <w:szCs w:val="18"/>
          <w:highlight w:val="none"/>
        </w:rPr>
      </w:pPr>
    </w:p>
    <w:p w14:paraId="4AAC91BF">
      <w:pPr>
        <w:ind w:firstLine="0" w:firstLineChars="0"/>
        <w:rPr>
          <w:color w:val="auto"/>
          <w:szCs w:val="22"/>
          <w:highlight w:val="none"/>
          <w:lang w:eastAsia="zh-Hans"/>
        </w:rPr>
      </w:pPr>
      <w:r>
        <w:rPr>
          <w:rFonts w:hint="eastAsia"/>
          <w:color w:val="auto"/>
          <w:szCs w:val="22"/>
          <w:highlight w:val="none"/>
          <w:lang w:eastAsia="zh-Hans"/>
        </w:rPr>
        <w:t>日期</w:t>
      </w:r>
      <w:r>
        <w:rPr>
          <w:color w:val="auto"/>
          <w:szCs w:val="22"/>
          <w:highlight w:val="none"/>
          <w:lang w:eastAsia="zh-Hans"/>
        </w:rPr>
        <w:t xml:space="preserve">：    </w:t>
      </w:r>
      <w:r>
        <w:rPr>
          <w:rFonts w:hint="eastAsia"/>
          <w:color w:val="auto"/>
          <w:szCs w:val="22"/>
          <w:highlight w:val="none"/>
          <w:lang w:eastAsia="zh-Hans"/>
        </w:rPr>
        <w:t>年</w:t>
      </w:r>
      <w:r>
        <w:rPr>
          <w:color w:val="auto"/>
          <w:szCs w:val="22"/>
          <w:highlight w:val="none"/>
          <w:lang w:eastAsia="zh-Hans"/>
        </w:rPr>
        <w:t xml:space="preserve">  </w:t>
      </w:r>
      <w:r>
        <w:rPr>
          <w:rFonts w:hint="eastAsia"/>
          <w:color w:val="auto"/>
          <w:szCs w:val="22"/>
          <w:highlight w:val="none"/>
          <w:lang w:eastAsia="zh-Hans"/>
        </w:rPr>
        <w:t>月</w:t>
      </w:r>
      <w:r>
        <w:rPr>
          <w:color w:val="auto"/>
          <w:szCs w:val="22"/>
          <w:highlight w:val="none"/>
          <w:lang w:eastAsia="zh-Hans"/>
        </w:rPr>
        <w:t xml:space="preserve">  </w:t>
      </w:r>
      <w:r>
        <w:rPr>
          <w:rFonts w:hint="eastAsia"/>
          <w:color w:val="auto"/>
          <w:szCs w:val="22"/>
          <w:highlight w:val="none"/>
          <w:lang w:eastAsia="zh-Hans"/>
        </w:rPr>
        <w:t>日</w:t>
      </w:r>
    </w:p>
    <w:p w14:paraId="05B0514B">
      <w:pPr>
        <w:ind w:firstLine="480"/>
        <w:rPr>
          <w:color w:val="auto"/>
          <w:szCs w:val="22"/>
          <w:highlight w:val="none"/>
          <w:lang w:eastAsia="zh-Hans"/>
        </w:rPr>
      </w:pPr>
    </w:p>
    <w:p w14:paraId="021AC418">
      <w:pPr>
        <w:bidi w:val="0"/>
        <w:rPr>
          <w:rFonts w:hint="eastAsia"/>
          <w:color w:val="auto"/>
          <w:szCs w:val="22"/>
          <w:highlight w:val="none"/>
        </w:rPr>
      </w:pPr>
      <w:r>
        <w:rPr>
          <w:rFonts w:hint="eastAsia"/>
          <w:color w:val="auto"/>
          <w:szCs w:val="22"/>
          <w:highlight w:val="none"/>
        </w:rPr>
        <w:br w:type="page"/>
      </w:r>
    </w:p>
    <w:p w14:paraId="1A8D1A12">
      <w:pPr>
        <w:numPr>
          <w:ilvl w:val="0"/>
          <w:numId w:val="0"/>
        </w:numPr>
        <w:ind w:leftChars="200"/>
        <w:jc w:val="center"/>
        <w:rPr>
          <w:rFonts w:hint="eastAsia" w:ascii="Times New Roman" w:hAnsi="Times New Roman" w:eastAsia="仿宋"/>
          <w:b/>
          <w:color w:val="auto"/>
          <w:sz w:val="30"/>
          <w:szCs w:val="22"/>
          <w:highlight w:val="none"/>
          <w:lang w:val="en-US" w:eastAsia="zh-CN"/>
        </w:rPr>
      </w:pPr>
      <w:r>
        <w:rPr>
          <w:rFonts w:hint="eastAsia" w:ascii="Times New Roman" w:hAnsi="Times New Roman" w:eastAsia="仿宋"/>
          <w:b/>
          <w:color w:val="auto"/>
          <w:sz w:val="30"/>
          <w:szCs w:val="22"/>
          <w:highlight w:val="none"/>
          <w:lang w:val="en-US" w:eastAsia="zh-CN"/>
        </w:rPr>
        <w:t>商务响应表</w:t>
      </w:r>
      <w:r>
        <w:rPr>
          <w:rFonts w:hint="eastAsia" w:eastAsia="仿宋"/>
          <w:b/>
          <w:color w:val="auto"/>
          <w:sz w:val="30"/>
          <w:szCs w:val="22"/>
          <w:highlight w:val="none"/>
          <w:lang w:val="en-US" w:eastAsia="zh-CN"/>
        </w:rPr>
        <w:t>（对应商务要求）</w:t>
      </w:r>
    </w:p>
    <w:p w14:paraId="3B8F1DC6">
      <w:pPr>
        <w:ind w:firstLine="0" w:firstLineChars="0"/>
        <w:rPr>
          <w:color w:val="auto"/>
          <w:szCs w:val="22"/>
          <w:highlight w:val="none"/>
        </w:rPr>
      </w:pPr>
      <w:r>
        <w:rPr>
          <w:rFonts w:hint="eastAsia"/>
          <w:color w:val="auto"/>
          <w:szCs w:val="22"/>
          <w:highlight w:val="none"/>
        </w:rPr>
        <w:t>项目名称：                               项目编号：</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610"/>
        <w:gridCol w:w="2070"/>
        <w:gridCol w:w="2817"/>
      </w:tblGrid>
      <w:tr w14:paraId="1FCB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387166F2">
            <w:pPr>
              <w:pStyle w:val="8"/>
              <w:keepNext w:val="0"/>
              <w:keepLines w:val="0"/>
              <w:suppressLineNumbers w:val="0"/>
              <w:spacing w:before="0" w:beforeAutospacing="0" w:after="0" w:afterAutospacing="0"/>
              <w:ind w:left="0" w:right="0"/>
              <w:rPr>
                <w:rFonts w:hint="default" w:eastAsia="Times New Roman"/>
                <w:color w:val="auto"/>
                <w:highlight w:val="none"/>
              </w:rPr>
            </w:pPr>
            <w:r>
              <w:rPr>
                <w:rFonts w:hint="eastAsia" w:eastAsia="Times New Roman"/>
                <w:color w:val="auto"/>
                <w:highlight w:val="none"/>
              </w:rPr>
              <w:t>项目</w:t>
            </w:r>
          </w:p>
        </w:tc>
        <w:tc>
          <w:tcPr>
            <w:tcW w:w="2610" w:type="dxa"/>
            <w:vAlign w:val="center"/>
          </w:tcPr>
          <w:p w14:paraId="4146B580">
            <w:pPr>
              <w:pStyle w:val="8"/>
              <w:keepNext w:val="0"/>
              <w:keepLines w:val="0"/>
              <w:suppressLineNumbers w:val="0"/>
              <w:spacing w:before="0" w:beforeAutospacing="0" w:after="0" w:afterAutospacing="0"/>
              <w:ind w:left="0" w:right="0"/>
              <w:rPr>
                <w:rFonts w:hint="default" w:eastAsia="Times New Roman"/>
                <w:color w:val="auto"/>
                <w:highlight w:val="none"/>
              </w:rPr>
            </w:pPr>
            <w:r>
              <w:rPr>
                <w:rFonts w:hint="eastAsia" w:eastAsia="Times New Roman"/>
                <w:color w:val="auto"/>
                <w:highlight w:val="none"/>
              </w:rPr>
              <w:t>招标文件要求</w:t>
            </w:r>
          </w:p>
        </w:tc>
        <w:tc>
          <w:tcPr>
            <w:tcW w:w="2070" w:type="dxa"/>
            <w:vAlign w:val="center"/>
          </w:tcPr>
          <w:p w14:paraId="143B21F3">
            <w:pPr>
              <w:pStyle w:val="8"/>
              <w:keepNext w:val="0"/>
              <w:keepLines w:val="0"/>
              <w:suppressLineNumbers w:val="0"/>
              <w:spacing w:before="0" w:beforeAutospacing="0" w:after="0" w:afterAutospacing="0"/>
              <w:ind w:left="0" w:right="0"/>
              <w:rPr>
                <w:rFonts w:hint="default" w:eastAsia="Times New Roman"/>
                <w:color w:val="auto"/>
                <w:highlight w:val="none"/>
              </w:rPr>
            </w:pPr>
            <w:r>
              <w:rPr>
                <w:rFonts w:hint="eastAsia" w:eastAsia="Times New Roman"/>
                <w:color w:val="auto"/>
                <w:highlight w:val="none"/>
              </w:rPr>
              <w:t>是否响应</w:t>
            </w:r>
          </w:p>
        </w:tc>
        <w:tc>
          <w:tcPr>
            <w:tcW w:w="2817" w:type="dxa"/>
            <w:vAlign w:val="center"/>
          </w:tcPr>
          <w:p w14:paraId="4EE944EA">
            <w:pPr>
              <w:pStyle w:val="8"/>
              <w:keepNext w:val="0"/>
              <w:keepLines w:val="0"/>
              <w:suppressLineNumbers w:val="0"/>
              <w:spacing w:before="0" w:beforeAutospacing="0" w:after="0" w:afterAutospacing="0"/>
              <w:ind w:left="0" w:right="0"/>
              <w:rPr>
                <w:rFonts w:hint="default" w:eastAsia="Times New Roman"/>
                <w:color w:val="auto"/>
                <w:highlight w:val="none"/>
              </w:rPr>
            </w:pPr>
            <w:r>
              <w:rPr>
                <w:rFonts w:hint="eastAsia" w:eastAsia="Times New Roman"/>
                <w:color w:val="auto"/>
                <w:highlight w:val="none"/>
              </w:rPr>
              <w:t>供应商的承诺和说明</w:t>
            </w:r>
          </w:p>
        </w:tc>
      </w:tr>
      <w:tr w14:paraId="6430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315D9EF3">
            <w:pPr>
              <w:pStyle w:val="8"/>
              <w:keepNext w:val="0"/>
              <w:keepLines w:val="0"/>
              <w:suppressLineNumbers w:val="0"/>
              <w:spacing w:before="0" w:beforeAutospacing="0" w:after="0" w:afterAutospacing="0"/>
              <w:ind w:left="0" w:right="0"/>
              <w:rPr>
                <w:rFonts w:hint="default" w:eastAsia="宋体"/>
                <w:color w:val="auto"/>
                <w:highlight w:val="none"/>
                <w:lang w:val="en-US" w:eastAsia="zh-CN"/>
              </w:rPr>
            </w:pPr>
          </w:p>
        </w:tc>
        <w:tc>
          <w:tcPr>
            <w:tcW w:w="2610" w:type="dxa"/>
            <w:vAlign w:val="center"/>
          </w:tcPr>
          <w:p w14:paraId="3AA5EA9C">
            <w:pPr>
              <w:pStyle w:val="8"/>
              <w:keepNext w:val="0"/>
              <w:keepLines w:val="0"/>
              <w:suppressLineNumbers w:val="0"/>
              <w:spacing w:before="0" w:beforeAutospacing="0" w:after="0" w:afterAutospacing="0"/>
              <w:ind w:left="0" w:right="0"/>
              <w:rPr>
                <w:rFonts w:hint="default" w:eastAsia="宋体"/>
                <w:color w:val="auto"/>
                <w:highlight w:val="none"/>
                <w:lang w:val="en-US" w:eastAsia="zh-CN"/>
              </w:rPr>
            </w:pPr>
          </w:p>
        </w:tc>
        <w:tc>
          <w:tcPr>
            <w:tcW w:w="2070" w:type="dxa"/>
            <w:vAlign w:val="center"/>
          </w:tcPr>
          <w:p w14:paraId="69EF427C">
            <w:pPr>
              <w:pStyle w:val="8"/>
              <w:keepNext w:val="0"/>
              <w:keepLines w:val="0"/>
              <w:suppressLineNumbers w:val="0"/>
              <w:spacing w:before="0" w:beforeAutospacing="0" w:after="0" w:afterAutospacing="0"/>
              <w:ind w:left="0" w:right="0"/>
              <w:rPr>
                <w:rFonts w:hint="default" w:eastAsia="Times New Roman"/>
                <w:color w:val="auto"/>
                <w:highlight w:val="none"/>
              </w:rPr>
            </w:pPr>
          </w:p>
        </w:tc>
        <w:tc>
          <w:tcPr>
            <w:tcW w:w="2817" w:type="dxa"/>
            <w:vAlign w:val="center"/>
          </w:tcPr>
          <w:p w14:paraId="6D3B2021">
            <w:pPr>
              <w:pStyle w:val="8"/>
              <w:keepNext w:val="0"/>
              <w:keepLines w:val="0"/>
              <w:suppressLineNumbers w:val="0"/>
              <w:spacing w:before="0" w:beforeAutospacing="0" w:after="0" w:afterAutospacing="0"/>
              <w:ind w:left="0" w:right="0"/>
              <w:rPr>
                <w:rFonts w:hint="default" w:eastAsia="Times New Roman"/>
                <w:color w:val="auto"/>
                <w:highlight w:val="none"/>
              </w:rPr>
            </w:pPr>
          </w:p>
        </w:tc>
      </w:tr>
      <w:tr w14:paraId="294A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14:paraId="6A8BE6E6">
            <w:pPr>
              <w:pStyle w:val="8"/>
              <w:keepNext w:val="0"/>
              <w:keepLines w:val="0"/>
              <w:suppressLineNumbers w:val="0"/>
              <w:spacing w:before="0" w:beforeAutospacing="0" w:after="0" w:afterAutospacing="0"/>
              <w:ind w:left="0" w:right="0"/>
              <w:rPr>
                <w:rFonts w:hint="default" w:eastAsia="宋体"/>
                <w:color w:val="auto"/>
                <w:highlight w:val="none"/>
                <w:lang w:val="en-US" w:eastAsia="zh-CN"/>
              </w:rPr>
            </w:pPr>
          </w:p>
        </w:tc>
        <w:tc>
          <w:tcPr>
            <w:tcW w:w="2610" w:type="dxa"/>
            <w:vAlign w:val="center"/>
          </w:tcPr>
          <w:p w14:paraId="1C24DD88">
            <w:pPr>
              <w:pStyle w:val="8"/>
              <w:keepNext w:val="0"/>
              <w:keepLines w:val="0"/>
              <w:suppressLineNumbers w:val="0"/>
              <w:spacing w:before="0" w:beforeAutospacing="0" w:after="0" w:afterAutospacing="0"/>
              <w:ind w:left="0" w:right="0"/>
              <w:rPr>
                <w:rFonts w:hint="default" w:eastAsia="宋体"/>
                <w:color w:val="auto"/>
                <w:highlight w:val="none"/>
                <w:lang w:val="en-US" w:eastAsia="zh-CN"/>
              </w:rPr>
            </w:pPr>
          </w:p>
        </w:tc>
        <w:tc>
          <w:tcPr>
            <w:tcW w:w="2070" w:type="dxa"/>
            <w:vAlign w:val="center"/>
          </w:tcPr>
          <w:p w14:paraId="725A133C">
            <w:pPr>
              <w:pStyle w:val="8"/>
              <w:keepNext w:val="0"/>
              <w:keepLines w:val="0"/>
              <w:suppressLineNumbers w:val="0"/>
              <w:spacing w:before="0" w:beforeAutospacing="0" w:after="0" w:afterAutospacing="0"/>
              <w:ind w:left="0" w:right="0"/>
              <w:rPr>
                <w:rFonts w:hint="default" w:eastAsia="Times New Roman"/>
                <w:color w:val="auto"/>
                <w:highlight w:val="none"/>
              </w:rPr>
            </w:pPr>
          </w:p>
        </w:tc>
        <w:tc>
          <w:tcPr>
            <w:tcW w:w="2817" w:type="dxa"/>
            <w:vAlign w:val="center"/>
          </w:tcPr>
          <w:p w14:paraId="27ED5B2A">
            <w:pPr>
              <w:pStyle w:val="8"/>
              <w:keepNext w:val="0"/>
              <w:keepLines w:val="0"/>
              <w:suppressLineNumbers w:val="0"/>
              <w:spacing w:before="0" w:beforeAutospacing="0" w:after="0" w:afterAutospacing="0"/>
              <w:ind w:left="0" w:right="0"/>
              <w:rPr>
                <w:rFonts w:hint="default" w:eastAsia="Times New Roman"/>
                <w:color w:val="auto"/>
                <w:highlight w:val="none"/>
              </w:rPr>
            </w:pPr>
          </w:p>
        </w:tc>
      </w:tr>
      <w:tr w14:paraId="48C1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3" w:type="dxa"/>
            <w:vAlign w:val="center"/>
          </w:tcPr>
          <w:p w14:paraId="32C5112E">
            <w:pPr>
              <w:pStyle w:val="8"/>
              <w:keepNext w:val="0"/>
              <w:keepLines w:val="0"/>
              <w:suppressLineNumbers w:val="0"/>
              <w:spacing w:before="0" w:beforeAutospacing="0" w:after="0" w:afterAutospacing="0"/>
              <w:ind w:left="0" w:right="0"/>
              <w:rPr>
                <w:rFonts w:hint="default" w:eastAsia="宋体"/>
                <w:color w:val="auto"/>
                <w:highlight w:val="none"/>
                <w:lang w:val="en-US" w:eastAsia="zh-CN"/>
              </w:rPr>
            </w:pPr>
          </w:p>
        </w:tc>
        <w:tc>
          <w:tcPr>
            <w:tcW w:w="2610" w:type="dxa"/>
            <w:vAlign w:val="center"/>
          </w:tcPr>
          <w:p w14:paraId="4800AF4B">
            <w:pPr>
              <w:pStyle w:val="8"/>
              <w:keepNext w:val="0"/>
              <w:keepLines w:val="0"/>
              <w:suppressLineNumbers w:val="0"/>
              <w:spacing w:before="0" w:beforeAutospacing="0" w:after="0" w:afterAutospacing="0"/>
              <w:ind w:left="0" w:right="0"/>
              <w:rPr>
                <w:rFonts w:hint="default" w:eastAsia="Times New Roman"/>
                <w:color w:val="auto"/>
                <w:highlight w:val="none"/>
              </w:rPr>
            </w:pPr>
          </w:p>
        </w:tc>
        <w:tc>
          <w:tcPr>
            <w:tcW w:w="2070" w:type="dxa"/>
            <w:vAlign w:val="center"/>
          </w:tcPr>
          <w:p w14:paraId="4F564055">
            <w:pPr>
              <w:pStyle w:val="8"/>
              <w:keepNext w:val="0"/>
              <w:keepLines w:val="0"/>
              <w:suppressLineNumbers w:val="0"/>
              <w:spacing w:before="0" w:beforeAutospacing="0" w:after="0" w:afterAutospacing="0"/>
              <w:ind w:left="0" w:right="0"/>
              <w:rPr>
                <w:rFonts w:hint="default" w:eastAsia="Times New Roman"/>
                <w:color w:val="auto"/>
                <w:highlight w:val="none"/>
              </w:rPr>
            </w:pPr>
          </w:p>
        </w:tc>
        <w:tc>
          <w:tcPr>
            <w:tcW w:w="2817" w:type="dxa"/>
            <w:vAlign w:val="center"/>
          </w:tcPr>
          <w:p w14:paraId="410DFBBB">
            <w:pPr>
              <w:pStyle w:val="8"/>
              <w:keepNext w:val="0"/>
              <w:keepLines w:val="0"/>
              <w:suppressLineNumbers w:val="0"/>
              <w:spacing w:before="0" w:beforeAutospacing="0" w:after="0" w:afterAutospacing="0"/>
              <w:ind w:left="0" w:right="0"/>
              <w:rPr>
                <w:rFonts w:hint="default" w:eastAsia="Times New Roman"/>
                <w:color w:val="auto"/>
                <w:highlight w:val="none"/>
              </w:rPr>
            </w:pPr>
          </w:p>
        </w:tc>
      </w:tr>
    </w:tbl>
    <w:p w14:paraId="7273A40A">
      <w:pPr>
        <w:ind w:firstLine="0" w:firstLineChars="0"/>
        <w:jc w:val="center"/>
        <w:rPr>
          <w:color w:val="auto"/>
          <w:szCs w:val="22"/>
          <w:highlight w:val="none"/>
        </w:rPr>
      </w:pPr>
    </w:p>
    <w:p w14:paraId="7689FFAC">
      <w:pPr>
        <w:ind w:firstLine="0" w:firstLineChars="0"/>
        <w:rPr>
          <w:color w:val="auto"/>
          <w:szCs w:val="22"/>
          <w:highlight w:val="none"/>
        </w:rPr>
      </w:pPr>
      <w:r>
        <w:rPr>
          <w:rFonts w:hint="eastAsia"/>
          <w:color w:val="auto"/>
          <w:szCs w:val="22"/>
          <w:highlight w:val="none"/>
        </w:rPr>
        <w:t>注：</w:t>
      </w:r>
      <w:r>
        <w:rPr>
          <w:rFonts w:hint="eastAsia" w:ascii="Times New Roman" w:eastAsia="宋体"/>
          <w:color w:val="auto"/>
          <w:szCs w:val="22"/>
          <w:highlight w:val="none"/>
          <w:lang w:val="en-US" w:eastAsia="zh-CN"/>
        </w:rPr>
        <w:t>本表格若不填写，视同为完全响应招标文件要求，</w:t>
      </w:r>
      <w:r>
        <w:rPr>
          <w:rFonts w:hint="eastAsia"/>
          <w:color w:val="auto"/>
          <w:szCs w:val="22"/>
          <w:highlight w:val="none"/>
        </w:rPr>
        <w:t>如投标文件其他承诺或方案内容与本响应表不一致，以本表内容为准。</w:t>
      </w:r>
    </w:p>
    <w:p w14:paraId="3ED03A9B">
      <w:pPr>
        <w:ind w:firstLine="360"/>
        <w:rPr>
          <w:color w:val="auto"/>
          <w:sz w:val="18"/>
          <w:szCs w:val="18"/>
          <w:highlight w:val="none"/>
        </w:rPr>
      </w:pPr>
    </w:p>
    <w:p w14:paraId="0E22B01B">
      <w:pPr>
        <w:ind w:firstLine="0" w:firstLineChars="0"/>
        <w:rPr>
          <w:color w:val="auto"/>
          <w:szCs w:val="22"/>
          <w:highlight w:val="none"/>
        </w:rPr>
      </w:pPr>
      <w:r>
        <w:rPr>
          <w:rFonts w:hint="eastAsia"/>
          <w:color w:val="auto"/>
          <w:szCs w:val="22"/>
          <w:highlight w:val="none"/>
        </w:rPr>
        <w:t>法定代表人或</w:t>
      </w:r>
      <w:r>
        <w:rPr>
          <w:rFonts w:hint="eastAsia" w:eastAsia="宋体"/>
          <w:color w:val="auto"/>
          <w:szCs w:val="22"/>
          <w:highlight w:val="none"/>
          <w:lang w:eastAsia="zh-CN"/>
        </w:rPr>
        <w:t>授权委托人</w:t>
      </w:r>
      <w:r>
        <w:rPr>
          <w:rFonts w:hint="eastAsia"/>
          <w:color w:val="auto"/>
          <w:szCs w:val="22"/>
          <w:highlight w:val="none"/>
        </w:rPr>
        <w:t>签字：</w:t>
      </w:r>
    </w:p>
    <w:p w14:paraId="346C3E53">
      <w:pPr>
        <w:ind w:firstLine="0" w:firstLineChars="0"/>
        <w:rPr>
          <w:color w:val="auto"/>
          <w:szCs w:val="22"/>
          <w:highlight w:val="none"/>
        </w:rPr>
      </w:pPr>
    </w:p>
    <w:p w14:paraId="4FE20C3D">
      <w:pPr>
        <w:ind w:firstLine="0" w:firstLineChars="0"/>
        <w:rPr>
          <w:color w:val="auto"/>
          <w:szCs w:val="22"/>
          <w:highlight w:val="none"/>
        </w:rPr>
      </w:pPr>
      <w:r>
        <w:rPr>
          <w:rFonts w:hint="eastAsia" w:eastAsia="宋体"/>
          <w:color w:val="auto"/>
          <w:szCs w:val="22"/>
          <w:highlight w:val="none"/>
          <w:lang w:eastAsia="zh-CN"/>
        </w:rPr>
        <w:t>供应商</w:t>
      </w:r>
      <w:r>
        <w:rPr>
          <w:rFonts w:hint="eastAsia"/>
          <w:color w:val="auto"/>
          <w:szCs w:val="22"/>
          <w:highlight w:val="none"/>
        </w:rPr>
        <w:t>全称公章：</w:t>
      </w:r>
    </w:p>
    <w:p w14:paraId="33DCD312">
      <w:pPr>
        <w:ind w:firstLine="360"/>
        <w:rPr>
          <w:color w:val="auto"/>
          <w:sz w:val="18"/>
          <w:szCs w:val="18"/>
          <w:highlight w:val="none"/>
        </w:rPr>
      </w:pPr>
    </w:p>
    <w:p w14:paraId="76C90E19">
      <w:pPr>
        <w:ind w:firstLine="0" w:firstLineChars="0"/>
        <w:rPr>
          <w:rFonts w:hint="eastAsia" w:eastAsia="仿宋"/>
          <w:b/>
          <w:color w:val="auto"/>
          <w:sz w:val="30"/>
          <w:szCs w:val="22"/>
          <w:highlight w:val="none"/>
          <w:lang w:val="en-US" w:eastAsia="zh-CN"/>
        </w:rPr>
        <w:sectPr>
          <w:headerReference r:id="rId5" w:type="default"/>
          <w:footerReference r:id="rId6" w:type="default"/>
          <w:pgSz w:w="11906" w:h="16838"/>
          <w:pgMar w:top="1134" w:right="1531" w:bottom="992" w:left="1531" w:header="851" w:footer="964" w:gutter="0"/>
          <w:pgNumType w:fmt="decimal" w:start="1"/>
          <w:cols w:space="720" w:num="1"/>
          <w:docGrid w:type="lines" w:linePitch="312" w:charSpace="0"/>
        </w:sectPr>
      </w:pPr>
      <w:r>
        <w:rPr>
          <w:rFonts w:hint="eastAsia" w:eastAsia="宋体"/>
          <w:color w:val="auto"/>
          <w:szCs w:val="22"/>
          <w:highlight w:val="none"/>
          <w:lang w:eastAsia="zh-Hans"/>
        </w:rPr>
        <w:t>日期</w:t>
      </w:r>
      <w:r>
        <w:rPr>
          <w:color w:val="auto"/>
          <w:szCs w:val="22"/>
          <w:highlight w:val="none"/>
          <w:lang w:eastAsia="zh-Hans"/>
        </w:rPr>
        <w:t xml:space="preserve">：    </w:t>
      </w:r>
      <w:r>
        <w:rPr>
          <w:rFonts w:hint="eastAsia" w:eastAsia="宋体"/>
          <w:color w:val="auto"/>
          <w:szCs w:val="22"/>
          <w:highlight w:val="none"/>
          <w:lang w:eastAsia="zh-Hans"/>
        </w:rPr>
        <w:t>年</w:t>
      </w:r>
      <w:r>
        <w:rPr>
          <w:color w:val="auto"/>
          <w:szCs w:val="22"/>
          <w:highlight w:val="none"/>
          <w:lang w:eastAsia="zh-Hans"/>
        </w:rPr>
        <w:t xml:space="preserve">  </w:t>
      </w:r>
      <w:r>
        <w:rPr>
          <w:rFonts w:hint="eastAsia" w:eastAsia="宋体"/>
          <w:color w:val="auto"/>
          <w:szCs w:val="22"/>
          <w:highlight w:val="none"/>
          <w:lang w:eastAsia="zh-Hans"/>
        </w:rPr>
        <w:t>月</w:t>
      </w:r>
      <w:r>
        <w:rPr>
          <w:color w:val="auto"/>
          <w:szCs w:val="22"/>
          <w:highlight w:val="none"/>
          <w:lang w:eastAsia="zh-Hans"/>
        </w:rPr>
        <w:t xml:space="preserve">  </w:t>
      </w:r>
    </w:p>
    <w:p w14:paraId="64DADD2D">
      <w:pPr>
        <w:keepNext/>
        <w:keepLines/>
        <w:ind w:firstLine="602"/>
        <w:jc w:val="center"/>
        <w:outlineLvl w:val="1"/>
        <w:rPr>
          <w:rFonts w:eastAsia="仿宋"/>
          <w:b/>
          <w:color w:val="auto"/>
          <w:sz w:val="30"/>
          <w:szCs w:val="22"/>
          <w:highlight w:val="none"/>
        </w:rPr>
      </w:pPr>
      <w:r>
        <w:rPr>
          <w:rFonts w:hint="eastAsia" w:eastAsia="仿宋"/>
          <w:b/>
          <w:color w:val="auto"/>
          <w:sz w:val="30"/>
          <w:szCs w:val="22"/>
          <w:highlight w:val="none"/>
        </w:rPr>
        <w:t>需求响应表</w:t>
      </w:r>
    </w:p>
    <w:tbl>
      <w:tblPr>
        <w:tblStyle w:val="20"/>
        <w:tblW w:w="8998" w:type="dxa"/>
        <w:tblInd w:w="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80"/>
        <w:gridCol w:w="3599"/>
        <w:gridCol w:w="1619"/>
      </w:tblGrid>
      <w:tr w14:paraId="294F28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3780" w:type="dxa"/>
            <w:tcBorders>
              <w:top w:val="single" w:color="auto" w:sz="4" w:space="0"/>
              <w:bottom w:val="single" w:color="auto" w:sz="4" w:space="0"/>
              <w:right w:val="single" w:color="auto" w:sz="4" w:space="0"/>
            </w:tcBorders>
            <w:vAlign w:val="center"/>
          </w:tcPr>
          <w:p w14:paraId="4B5ED465">
            <w:pPr>
              <w:tabs>
                <w:tab w:val="left" w:pos="2996"/>
              </w:tabs>
              <w:spacing w:line="540" w:lineRule="exact"/>
              <w:jc w:val="center"/>
              <w:rPr>
                <w:color w:val="auto"/>
                <w:highlight w:val="none"/>
              </w:rPr>
            </w:pPr>
            <w:r>
              <w:rPr>
                <w:rFonts w:hint="eastAsia"/>
                <w:color w:val="auto"/>
                <w:highlight w:val="none"/>
              </w:rPr>
              <w:t>评分项目</w:t>
            </w:r>
          </w:p>
        </w:tc>
        <w:tc>
          <w:tcPr>
            <w:tcW w:w="3599" w:type="dxa"/>
            <w:tcBorders>
              <w:top w:val="single" w:color="auto" w:sz="4" w:space="0"/>
              <w:left w:val="single" w:color="auto" w:sz="4" w:space="0"/>
              <w:bottom w:val="single" w:color="auto" w:sz="4" w:space="0"/>
              <w:right w:val="single" w:color="auto" w:sz="4" w:space="0"/>
            </w:tcBorders>
            <w:vAlign w:val="center"/>
          </w:tcPr>
          <w:p w14:paraId="226258F3">
            <w:pPr>
              <w:tabs>
                <w:tab w:val="left" w:pos="2996"/>
              </w:tabs>
              <w:spacing w:line="540" w:lineRule="exact"/>
              <w:jc w:val="center"/>
              <w:rPr>
                <w:color w:val="auto"/>
                <w:highlight w:val="none"/>
              </w:rPr>
            </w:pPr>
            <w:r>
              <w:rPr>
                <w:rFonts w:hint="eastAsia"/>
                <w:color w:val="auto"/>
                <w:highlight w:val="none"/>
              </w:rPr>
              <w:t>需求内容</w:t>
            </w:r>
          </w:p>
        </w:tc>
        <w:tc>
          <w:tcPr>
            <w:tcW w:w="1619" w:type="dxa"/>
            <w:tcBorders>
              <w:top w:val="single" w:color="auto" w:sz="4" w:space="0"/>
              <w:left w:val="single" w:color="auto" w:sz="4" w:space="0"/>
              <w:bottom w:val="single" w:color="auto" w:sz="4" w:space="0"/>
              <w:right w:val="single" w:color="auto" w:sz="4" w:space="0"/>
            </w:tcBorders>
            <w:vAlign w:val="center"/>
          </w:tcPr>
          <w:p w14:paraId="638F3190">
            <w:pPr>
              <w:tabs>
                <w:tab w:val="left" w:pos="2996"/>
              </w:tabs>
              <w:spacing w:line="540" w:lineRule="exact"/>
              <w:jc w:val="center"/>
              <w:rPr>
                <w:color w:val="auto"/>
                <w:highlight w:val="none"/>
              </w:rPr>
            </w:pPr>
            <w:r>
              <w:rPr>
                <w:rFonts w:hint="eastAsia"/>
                <w:color w:val="auto"/>
                <w:highlight w:val="none"/>
              </w:rPr>
              <w:t>是否响应</w:t>
            </w:r>
          </w:p>
        </w:tc>
      </w:tr>
      <w:tr w14:paraId="7E513D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3780" w:type="dxa"/>
            <w:tcBorders>
              <w:top w:val="single" w:color="auto" w:sz="4" w:space="0"/>
              <w:bottom w:val="single" w:color="auto" w:sz="4" w:space="0"/>
              <w:right w:val="single" w:color="auto" w:sz="4" w:space="0"/>
            </w:tcBorders>
            <w:vAlign w:val="center"/>
          </w:tcPr>
          <w:p w14:paraId="6A9C2E83">
            <w:pPr>
              <w:tabs>
                <w:tab w:val="left" w:pos="2996"/>
              </w:tabs>
              <w:spacing w:line="540" w:lineRule="exact"/>
              <w:jc w:val="center"/>
              <w:rPr>
                <w:color w:val="auto"/>
                <w:highlight w:val="none"/>
              </w:rPr>
            </w:pPr>
            <w:r>
              <w:rPr>
                <w:rFonts w:hint="eastAsia"/>
                <w:color w:val="auto"/>
                <w:highlight w:val="none"/>
              </w:rPr>
              <w:t>对应采购需求部分</w:t>
            </w:r>
          </w:p>
        </w:tc>
        <w:tc>
          <w:tcPr>
            <w:tcW w:w="3599" w:type="dxa"/>
            <w:tcBorders>
              <w:top w:val="single" w:color="auto" w:sz="4" w:space="0"/>
              <w:left w:val="single" w:color="auto" w:sz="4" w:space="0"/>
              <w:bottom w:val="single" w:color="auto" w:sz="4" w:space="0"/>
              <w:right w:val="single" w:color="auto" w:sz="4" w:space="0"/>
            </w:tcBorders>
            <w:vAlign w:val="center"/>
          </w:tcPr>
          <w:p w14:paraId="5643F9D0">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1A00F3C">
            <w:pPr>
              <w:tabs>
                <w:tab w:val="left" w:pos="2996"/>
              </w:tabs>
              <w:spacing w:line="540" w:lineRule="exact"/>
              <w:ind w:firstLine="480"/>
              <w:jc w:val="center"/>
              <w:rPr>
                <w:color w:val="auto"/>
                <w:highlight w:val="none"/>
              </w:rPr>
            </w:pPr>
          </w:p>
        </w:tc>
      </w:tr>
      <w:tr w14:paraId="122D56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1656907C">
            <w:pPr>
              <w:tabs>
                <w:tab w:val="left" w:pos="2996"/>
              </w:tabs>
              <w:spacing w:line="540" w:lineRule="exact"/>
              <w:jc w:val="center"/>
              <w:rPr>
                <w:color w:val="auto"/>
                <w:highlight w:val="none"/>
              </w:rPr>
            </w:pPr>
            <w:r>
              <w:rPr>
                <w:rFonts w:hint="eastAsia"/>
                <w:color w:val="auto"/>
                <w:highlight w:val="none"/>
              </w:rPr>
              <w:t>……</w:t>
            </w:r>
          </w:p>
        </w:tc>
        <w:tc>
          <w:tcPr>
            <w:tcW w:w="3599" w:type="dxa"/>
            <w:tcBorders>
              <w:top w:val="single" w:color="auto" w:sz="4" w:space="0"/>
              <w:left w:val="single" w:color="auto" w:sz="4" w:space="0"/>
              <w:bottom w:val="single" w:color="auto" w:sz="4" w:space="0"/>
              <w:right w:val="single" w:color="auto" w:sz="4" w:space="0"/>
            </w:tcBorders>
            <w:vAlign w:val="center"/>
          </w:tcPr>
          <w:p w14:paraId="0763FDC5">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67322A2">
            <w:pPr>
              <w:tabs>
                <w:tab w:val="left" w:pos="2996"/>
              </w:tabs>
              <w:spacing w:line="540" w:lineRule="exact"/>
              <w:ind w:firstLine="480"/>
              <w:jc w:val="center"/>
              <w:rPr>
                <w:color w:val="auto"/>
                <w:highlight w:val="none"/>
              </w:rPr>
            </w:pPr>
          </w:p>
        </w:tc>
      </w:tr>
      <w:tr w14:paraId="51AD86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444F8AA6">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0BDBC69E">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331F89DB">
            <w:pPr>
              <w:tabs>
                <w:tab w:val="left" w:pos="2996"/>
              </w:tabs>
              <w:spacing w:line="540" w:lineRule="exact"/>
              <w:ind w:firstLine="480"/>
              <w:jc w:val="center"/>
              <w:rPr>
                <w:color w:val="auto"/>
                <w:highlight w:val="none"/>
              </w:rPr>
            </w:pPr>
          </w:p>
        </w:tc>
      </w:tr>
      <w:tr w14:paraId="45849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70F1AF49">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3E9C5B73">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04606A9">
            <w:pPr>
              <w:tabs>
                <w:tab w:val="left" w:pos="2996"/>
              </w:tabs>
              <w:spacing w:line="540" w:lineRule="exact"/>
              <w:ind w:firstLine="480"/>
              <w:jc w:val="center"/>
              <w:rPr>
                <w:color w:val="auto"/>
                <w:highlight w:val="none"/>
              </w:rPr>
            </w:pPr>
          </w:p>
        </w:tc>
      </w:tr>
      <w:tr w14:paraId="725251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7EBA86B1">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442135C5">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A68E385">
            <w:pPr>
              <w:tabs>
                <w:tab w:val="left" w:pos="2996"/>
              </w:tabs>
              <w:spacing w:line="540" w:lineRule="exact"/>
              <w:ind w:firstLine="480"/>
              <w:jc w:val="center"/>
              <w:rPr>
                <w:color w:val="auto"/>
                <w:highlight w:val="none"/>
              </w:rPr>
            </w:pPr>
          </w:p>
        </w:tc>
      </w:tr>
      <w:tr w14:paraId="7CCF8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091B440C">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2531C530">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06840896">
            <w:pPr>
              <w:tabs>
                <w:tab w:val="left" w:pos="2996"/>
              </w:tabs>
              <w:spacing w:line="540" w:lineRule="exact"/>
              <w:ind w:firstLine="480"/>
              <w:jc w:val="center"/>
              <w:rPr>
                <w:color w:val="auto"/>
                <w:highlight w:val="none"/>
              </w:rPr>
            </w:pPr>
          </w:p>
        </w:tc>
      </w:tr>
      <w:tr w14:paraId="736FA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1DF608B5">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2CB43981">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3DAE33B">
            <w:pPr>
              <w:tabs>
                <w:tab w:val="left" w:pos="2996"/>
              </w:tabs>
              <w:spacing w:line="540" w:lineRule="exact"/>
              <w:ind w:firstLine="480"/>
              <w:jc w:val="center"/>
              <w:rPr>
                <w:color w:val="auto"/>
                <w:highlight w:val="none"/>
              </w:rPr>
            </w:pPr>
          </w:p>
        </w:tc>
      </w:tr>
      <w:tr w14:paraId="756641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3780" w:type="dxa"/>
            <w:tcBorders>
              <w:top w:val="single" w:color="auto" w:sz="4" w:space="0"/>
              <w:bottom w:val="single" w:color="auto" w:sz="4" w:space="0"/>
              <w:right w:val="single" w:color="auto" w:sz="4" w:space="0"/>
            </w:tcBorders>
            <w:vAlign w:val="center"/>
          </w:tcPr>
          <w:p w14:paraId="31E6510D">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1D578DF4">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4853E723">
            <w:pPr>
              <w:tabs>
                <w:tab w:val="left" w:pos="2996"/>
              </w:tabs>
              <w:spacing w:line="540" w:lineRule="exact"/>
              <w:ind w:firstLine="480"/>
              <w:jc w:val="center"/>
              <w:rPr>
                <w:color w:val="auto"/>
                <w:highlight w:val="none"/>
              </w:rPr>
            </w:pPr>
          </w:p>
        </w:tc>
      </w:tr>
      <w:tr w14:paraId="715C88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3780" w:type="dxa"/>
            <w:tcBorders>
              <w:top w:val="single" w:color="auto" w:sz="4" w:space="0"/>
              <w:bottom w:val="single" w:color="auto" w:sz="4" w:space="0"/>
              <w:right w:val="single" w:color="auto" w:sz="4" w:space="0"/>
            </w:tcBorders>
            <w:vAlign w:val="center"/>
          </w:tcPr>
          <w:p w14:paraId="06CB854E">
            <w:pPr>
              <w:tabs>
                <w:tab w:val="left" w:pos="2996"/>
              </w:tabs>
              <w:spacing w:line="540" w:lineRule="exact"/>
              <w:ind w:firstLine="480"/>
              <w:jc w:val="center"/>
              <w:rPr>
                <w:color w:val="auto"/>
                <w:highlight w:val="none"/>
              </w:rPr>
            </w:pPr>
          </w:p>
        </w:tc>
        <w:tc>
          <w:tcPr>
            <w:tcW w:w="3599" w:type="dxa"/>
            <w:tcBorders>
              <w:top w:val="single" w:color="auto" w:sz="4" w:space="0"/>
              <w:left w:val="single" w:color="auto" w:sz="4" w:space="0"/>
              <w:bottom w:val="single" w:color="auto" w:sz="4" w:space="0"/>
              <w:right w:val="single" w:color="auto" w:sz="4" w:space="0"/>
            </w:tcBorders>
            <w:vAlign w:val="center"/>
          </w:tcPr>
          <w:p w14:paraId="1E328F15">
            <w:pPr>
              <w:tabs>
                <w:tab w:val="left" w:pos="2996"/>
              </w:tabs>
              <w:spacing w:line="540" w:lineRule="exact"/>
              <w:ind w:firstLine="480"/>
              <w:jc w:val="center"/>
              <w:rPr>
                <w:color w:val="auto"/>
                <w:highlight w:val="none"/>
              </w:rPr>
            </w:pPr>
          </w:p>
        </w:tc>
        <w:tc>
          <w:tcPr>
            <w:tcW w:w="1619" w:type="dxa"/>
            <w:tcBorders>
              <w:top w:val="single" w:color="auto" w:sz="4" w:space="0"/>
              <w:left w:val="single" w:color="auto" w:sz="4" w:space="0"/>
              <w:bottom w:val="single" w:color="auto" w:sz="4" w:space="0"/>
              <w:right w:val="single" w:color="auto" w:sz="4" w:space="0"/>
            </w:tcBorders>
            <w:vAlign w:val="center"/>
          </w:tcPr>
          <w:p w14:paraId="75C8DA5F">
            <w:pPr>
              <w:tabs>
                <w:tab w:val="left" w:pos="2996"/>
              </w:tabs>
              <w:spacing w:line="540" w:lineRule="exact"/>
              <w:ind w:firstLine="480"/>
              <w:jc w:val="center"/>
              <w:rPr>
                <w:color w:val="auto"/>
                <w:highlight w:val="none"/>
              </w:rPr>
            </w:pPr>
          </w:p>
        </w:tc>
      </w:tr>
    </w:tbl>
    <w:p w14:paraId="3C10016F">
      <w:pPr>
        <w:rPr>
          <w:rFonts w:hint="eastAsia"/>
          <w:color w:val="auto"/>
          <w:highlight w:val="none"/>
        </w:rPr>
      </w:pPr>
    </w:p>
    <w:p w14:paraId="09C7FD3A">
      <w:pPr>
        <w:rPr>
          <w:color w:val="auto"/>
          <w:highlight w:val="none"/>
        </w:rPr>
      </w:pPr>
      <w:r>
        <w:rPr>
          <w:rFonts w:hint="eastAsia"/>
          <w:color w:val="auto"/>
          <w:highlight w:val="none"/>
        </w:rPr>
        <w:t>本表格若不填写，视同为完全响应招标文件要求，如投标文件其他承诺或方案内容与本响应表不一致，以本表内容为准。</w:t>
      </w:r>
    </w:p>
    <w:p w14:paraId="3F146309">
      <w:pPr>
        <w:rPr>
          <w:color w:val="auto"/>
          <w:highlight w:val="none"/>
        </w:rPr>
      </w:pPr>
      <w:r>
        <w:rPr>
          <w:rFonts w:hint="eastAsia"/>
          <w:color w:val="auto"/>
          <w:highlight w:val="none"/>
        </w:rPr>
        <w:t>法定代表人或授权委托人签字：</w:t>
      </w:r>
    </w:p>
    <w:p w14:paraId="38D4E4C1">
      <w:pPr>
        <w:rPr>
          <w:color w:val="auto"/>
          <w:highlight w:val="none"/>
        </w:rPr>
      </w:pPr>
    </w:p>
    <w:p w14:paraId="4E01AE55">
      <w:pPr>
        <w:rPr>
          <w:color w:val="auto"/>
          <w:highlight w:val="none"/>
        </w:rPr>
      </w:pPr>
      <w:r>
        <w:rPr>
          <w:rFonts w:hint="eastAsia"/>
          <w:color w:val="auto"/>
          <w:highlight w:val="none"/>
        </w:rPr>
        <w:t>供应商全称公章：</w:t>
      </w:r>
    </w:p>
    <w:p w14:paraId="1DF7BB9E">
      <w:pPr>
        <w:pStyle w:val="12"/>
        <w:ind w:firstLine="360"/>
        <w:rPr>
          <w:color w:val="auto"/>
          <w:highlight w:val="none"/>
        </w:rPr>
      </w:pPr>
    </w:p>
    <w:p w14:paraId="49E987CE">
      <w:pPr>
        <w:rPr>
          <w:rFonts w:hint="eastAsia"/>
          <w:color w:val="auto"/>
          <w:szCs w:val="22"/>
          <w:highlight w:val="none"/>
          <w:lang w:eastAsia="zh-Hans"/>
        </w:rPr>
      </w:pPr>
      <w:r>
        <w:rPr>
          <w:rFonts w:hint="eastAsia"/>
          <w:color w:val="auto"/>
          <w:szCs w:val="22"/>
          <w:highlight w:val="none"/>
          <w:lang w:eastAsia="zh-Hans"/>
        </w:rPr>
        <w:t>日期：    年  月  日</w:t>
      </w:r>
      <w:r>
        <w:rPr>
          <w:rFonts w:hint="eastAsia"/>
          <w:color w:val="auto"/>
          <w:szCs w:val="22"/>
          <w:highlight w:val="none"/>
          <w:lang w:eastAsia="zh-Hans"/>
        </w:rPr>
        <w:br w:type="page"/>
      </w:r>
    </w:p>
    <w:p w14:paraId="4C9DC218">
      <w:pPr>
        <w:jc w:val="center"/>
        <w:rPr>
          <w:rFonts w:hint="eastAsia"/>
          <w:color w:val="auto"/>
          <w:sz w:val="40"/>
          <w:szCs w:val="44"/>
          <w:highlight w:val="none"/>
          <w:lang w:val="en-US" w:eastAsia="zh-CN"/>
        </w:rPr>
      </w:pPr>
      <w:r>
        <w:rPr>
          <w:rFonts w:hint="eastAsia"/>
          <w:color w:val="auto"/>
          <w:sz w:val="40"/>
          <w:szCs w:val="44"/>
          <w:highlight w:val="none"/>
          <w:lang w:val="en-US" w:eastAsia="zh-CN"/>
        </w:rPr>
        <w:t>其他需要提供的材料</w:t>
      </w:r>
    </w:p>
    <w:p w14:paraId="255F18ED">
      <w:pPr>
        <w:rPr>
          <w:rFonts w:hint="default"/>
          <w:color w:val="auto"/>
          <w:sz w:val="40"/>
          <w:szCs w:val="44"/>
          <w:highlight w:val="none"/>
          <w:lang w:val="en-US" w:eastAsia="zh-CN"/>
        </w:rPr>
      </w:pPr>
      <w:r>
        <w:rPr>
          <w:rFonts w:hint="eastAsia"/>
          <w:color w:val="auto"/>
          <w:sz w:val="40"/>
          <w:szCs w:val="44"/>
          <w:highlight w:val="none"/>
          <w:lang w:val="en-US" w:eastAsia="zh-CN"/>
        </w:rPr>
        <w:br w:type="page"/>
      </w:r>
    </w:p>
    <w:p w14:paraId="6D23F900">
      <w:pPr>
        <w:jc w:val="right"/>
        <w:outlineLvl w:val="0"/>
        <w:rPr>
          <w:rFonts w:hint="default" w:eastAsia="仿宋"/>
          <w:b/>
          <w:color w:val="auto"/>
          <w:sz w:val="52"/>
          <w:szCs w:val="52"/>
          <w:highlight w:val="none"/>
          <w:lang w:val="en-US" w:eastAsia="zh-CN"/>
        </w:rPr>
      </w:pPr>
      <w:r>
        <w:rPr>
          <w:rFonts w:hint="eastAsia" w:eastAsia="仿宋"/>
          <w:b/>
          <w:color w:val="auto"/>
          <w:sz w:val="32"/>
          <w:szCs w:val="32"/>
          <w:highlight w:val="none"/>
          <w:lang w:val="en-US" w:eastAsia="zh-CN"/>
        </w:rPr>
        <w:t>正本/副本</w:t>
      </w:r>
    </w:p>
    <w:p w14:paraId="7C648DA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66918D9D">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51FC924C">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22AAC4E4">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1F4DE94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0A462715">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438C557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52"/>
          <w:szCs w:val="52"/>
          <w:highlight w:val="none"/>
          <w:lang w:val="en-US" w:eastAsia="zh-CN"/>
        </w:rPr>
      </w:pPr>
    </w:p>
    <w:p w14:paraId="72D974B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eastAsia="仿宋"/>
          <w:b/>
          <w:color w:val="auto"/>
          <w:sz w:val="52"/>
          <w:szCs w:val="52"/>
          <w:highlight w:val="none"/>
          <w:lang w:val="en-US" w:eastAsia="zh-CN"/>
        </w:rPr>
      </w:pPr>
      <w:r>
        <w:rPr>
          <w:rFonts w:hint="eastAsia" w:eastAsia="仿宋"/>
          <w:b/>
          <w:color w:val="auto"/>
          <w:sz w:val="52"/>
          <w:szCs w:val="52"/>
          <w:highlight w:val="none"/>
          <w:lang w:val="en-US" w:eastAsia="zh-CN"/>
        </w:rPr>
        <w:t>报价文件</w:t>
      </w:r>
    </w:p>
    <w:p w14:paraId="09997352">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32"/>
          <w:highlight w:val="none"/>
          <w:lang w:val="en-US" w:eastAsia="zh-CN"/>
        </w:rPr>
      </w:pPr>
    </w:p>
    <w:p w14:paraId="4551DDB1">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32"/>
          <w:highlight w:val="none"/>
          <w:lang w:val="en-US" w:eastAsia="zh-CN"/>
        </w:rPr>
      </w:pPr>
    </w:p>
    <w:p w14:paraId="346A6C87">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eastAsia="仿宋"/>
          <w:b/>
          <w:color w:val="auto"/>
          <w:sz w:val="32"/>
          <w:highlight w:val="none"/>
          <w:lang w:val="en-US" w:eastAsia="zh-CN"/>
        </w:rPr>
      </w:pPr>
    </w:p>
    <w:p w14:paraId="597932CA">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32"/>
          <w:highlight w:val="none"/>
          <w:lang w:val="en-US" w:eastAsia="zh-CN"/>
        </w:rPr>
      </w:pPr>
    </w:p>
    <w:p w14:paraId="7D073676">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32"/>
          <w:highlight w:val="none"/>
          <w:lang w:val="en-US" w:eastAsia="zh-CN"/>
        </w:rPr>
      </w:pPr>
    </w:p>
    <w:p w14:paraId="152D2905">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项目名称：</w:t>
      </w:r>
    </w:p>
    <w:p w14:paraId="6058AD34">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项目编号：</w:t>
      </w:r>
    </w:p>
    <w:p w14:paraId="3642A495">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投标人名称：</w:t>
      </w:r>
    </w:p>
    <w:p w14:paraId="6D15D63D">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投标人地址：</w:t>
      </w:r>
    </w:p>
    <w:p w14:paraId="3C68CB1B">
      <w:pPr>
        <w:keepNext w:val="0"/>
        <w:keepLines w:val="0"/>
        <w:pageBreakBefore w:val="0"/>
        <w:widowControl w:val="0"/>
        <w:kinsoku/>
        <w:wordWrap/>
        <w:overflowPunct/>
        <w:topLinePunct w:val="0"/>
        <w:autoSpaceDE/>
        <w:autoSpaceDN/>
        <w:bidi w:val="0"/>
        <w:adjustRightInd/>
        <w:snapToGrid/>
        <w:ind w:firstLine="0" w:firstLineChars="0"/>
        <w:textAlignment w:val="auto"/>
        <w:outlineLvl w:val="0"/>
        <w:rPr>
          <w:rFonts w:hint="eastAsia" w:eastAsia="仿宋"/>
          <w:b/>
          <w:bCs w:val="0"/>
          <w:color w:val="auto"/>
          <w:sz w:val="32"/>
          <w:highlight w:val="none"/>
          <w:lang w:val="en-US" w:eastAsia="zh-CN"/>
        </w:rPr>
      </w:pPr>
      <w:r>
        <w:rPr>
          <w:rFonts w:hint="eastAsia" w:eastAsia="仿宋"/>
          <w:b/>
          <w:bCs w:val="0"/>
          <w:color w:val="auto"/>
          <w:sz w:val="32"/>
          <w:highlight w:val="none"/>
          <w:lang w:val="en-US" w:eastAsia="zh-CN"/>
        </w:rPr>
        <w:t>在  年  月  日  时  分之前不得启封</w:t>
      </w:r>
    </w:p>
    <w:p w14:paraId="5F9925DF">
      <w:pPr>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eastAsia="仿宋"/>
          <w:b/>
          <w:color w:val="auto"/>
          <w:sz w:val="32"/>
          <w:highlight w:val="none"/>
          <w:lang w:val="en-US" w:eastAsia="zh-CN"/>
        </w:rPr>
      </w:pPr>
    </w:p>
    <w:p w14:paraId="3FED9EC5">
      <w:pPr>
        <w:outlineLvl w:val="0"/>
        <w:rPr>
          <w:rFonts w:hint="eastAsia" w:eastAsia="仿宋"/>
          <w:b/>
          <w:color w:val="auto"/>
          <w:sz w:val="32"/>
          <w:highlight w:val="none"/>
          <w:lang w:val="en-US" w:eastAsia="zh-CN"/>
        </w:rPr>
      </w:pPr>
      <w:r>
        <w:rPr>
          <w:rFonts w:hint="eastAsia" w:eastAsia="仿宋"/>
          <w:b/>
          <w:color w:val="auto"/>
          <w:sz w:val="32"/>
          <w:highlight w:val="none"/>
          <w:lang w:val="en-US" w:eastAsia="zh-CN"/>
        </w:rPr>
        <w:t xml:space="preserve">                                         年  月  日</w:t>
      </w:r>
      <w:r>
        <w:rPr>
          <w:rFonts w:hint="eastAsia" w:eastAsia="仿宋"/>
          <w:b/>
          <w:color w:val="auto"/>
          <w:sz w:val="32"/>
          <w:highlight w:val="none"/>
          <w:lang w:val="en-US" w:eastAsia="zh-CN"/>
        </w:rPr>
        <w:br w:type="page"/>
      </w:r>
    </w:p>
    <w:p w14:paraId="2588446A">
      <w:pPr>
        <w:keepNext/>
        <w:keepLines/>
        <w:ind w:firstLine="0" w:firstLineChars="0"/>
        <w:jc w:val="center"/>
        <w:outlineLvl w:val="0"/>
        <w:rPr>
          <w:rFonts w:eastAsia="仿宋"/>
          <w:b/>
          <w:color w:val="auto"/>
          <w:sz w:val="32"/>
          <w:highlight w:val="none"/>
        </w:rPr>
      </w:pPr>
      <w:r>
        <w:rPr>
          <w:rFonts w:hint="eastAsia" w:eastAsia="仿宋"/>
          <w:b/>
          <w:color w:val="auto"/>
          <w:sz w:val="32"/>
          <w:highlight w:val="none"/>
        </w:rPr>
        <w:t>投标响应函</w:t>
      </w:r>
    </w:p>
    <w:p w14:paraId="35721A67">
      <w:pPr>
        <w:ind w:firstLine="0" w:firstLineChars="0"/>
        <w:rPr>
          <w:color w:val="auto"/>
          <w:szCs w:val="22"/>
          <w:highlight w:val="none"/>
        </w:rPr>
      </w:pPr>
      <w:r>
        <w:rPr>
          <w:rFonts w:hint="eastAsia"/>
          <w:color w:val="auto"/>
          <w:szCs w:val="22"/>
          <w:highlight w:val="none"/>
          <w:lang w:val="en-US" w:eastAsia="zh-CN"/>
        </w:rPr>
        <w:t>致</w:t>
      </w:r>
      <w:r>
        <w:rPr>
          <w:rFonts w:hint="eastAsia"/>
          <w:color w:val="auto"/>
          <w:szCs w:val="22"/>
          <w:highlight w:val="none"/>
        </w:rPr>
        <w:t>湖州学院：</w:t>
      </w:r>
    </w:p>
    <w:p w14:paraId="6CF75579">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ascii="微软雅黑" w:hAnsi="微软雅黑" w:cs="微软雅黑"/>
          <w:bCs/>
          <w:color w:val="auto"/>
          <w:szCs w:val="22"/>
          <w:highlight w:val="none"/>
          <w:u w:val="none"/>
          <w:lang w:val="en-US" w:eastAsia="zh-CN"/>
        </w:rPr>
        <w:t>本人</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（姓名）</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身份证号：</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u w:val="none"/>
          <w:lang w:val="en-US" w:eastAsia="zh-CN"/>
        </w:rPr>
        <w:t>，</w:t>
      </w:r>
      <w:r>
        <w:rPr>
          <w:rFonts w:hint="eastAsia" w:ascii="微软雅黑" w:hAnsi="微软雅黑" w:cs="微软雅黑"/>
          <w:bCs/>
          <w:color w:val="auto"/>
          <w:szCs w:val="22"/>
          <w:highlight w:val="none"/>
        </w:rPr>
        <w:t>系</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w:t>
      </w:r>
      <w:r>
        <w:rPr>
          <w:rFonts w:hint="eastAsia" w:ascii="微软雅黑" w:hAnsi="微软雅黑" w:cs="微软雅黑"/>
          <w:bCs/>
          <w:color w:val="auto"/>
          <w:szCs w:val="22"/>
          <w:highlight w:val="none"/>
          <w:lang w:val="en-US" w:eastAsia="zh-CN"/>
        </w:rPr>
        <w:t>供应商</w:t>
      </w:r>
      <w:r>
        <w:rPr>
          <w:rFonts w:hint="eastAsia" w:ascii="微软雅黑" w:hAnsi="微软雅黑" w:cs="微软雅黑"/>
          <w:bCs/>
          <w:color w:val="auto"/>
          <w:szCs w:val="22"/>
          <w:highlight w:val="none"/>
        </w:rPr>
        <w:t>名称）的法定代表人，现授权委托</w:t>
      </w:r>
      <w:r>
        <w:rPr>
          <w:rFonts w:hint="eastAsia" w:ascii="微软雅黑" w:hAnsi="微软雅黑" w:cs="微软雅黑"/>
          <w:bCs/>
          <w:color w:val="auto"/>
          <w:szCs w:val="22"/>
          <w:highlight w:val="none"/>
          <w:u w:val="single"/>
        </w:rPr>
        <w:t xml:space="preserve"> </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rPr>
        <w:t>（姓名）</w:t>
      </w:r>
      <w:r>
        <w:rPr>
          <w:rFonts w:hint="eastAsia" w:ascii="微软雅黑" w:hAnsi="微软雅黑" w:cs="微软雅黑"/>
          <w:bCs/>
          <w:color w:val="auto"/>
          <w:szCs w:val="22"/>
          <w:highlight w:val="none"/>
          <w:lang w:eastAsia="zh-CN"/>
        </w:rPr>
        <w:t>，</w:t>
      </w:r>
      <w:r>
        <w:rPr>
          <w:rFonts w:hint="eastAsia" w:ascii="微软雅黑" w:hAnsi="微软雅黑" w:cs="微软雅黑"/>
          <w:bCs/>
          <w:color w:val="auto"/>
          <w:szCs w:val="22"/>
          <w:highlight w:val="none"/>
          <w:lang w:val="en-US" w:eastAsia="zh-CN"/>
        </w:rPr>
        <w:t>身份证号：</w:t>
      </w:r>
      <w:r>
        <w:rPr>
          <w:rFonts w:hint="eastAsia" w:ascii="微软雅黑" w:hAnsi="微软雅黑" w:cs="微软雅黑"/>
          <w:bCs/>
          <w:color w:val="auto"/>
          <w:szCs w:val="22"/>
          <w:highlight w:val="none"/>
          <w:u w:val="single"/>
          <w:lang w:val="en-US" w:eastAsia="zh-CN"/>
        </w:rPr>
        <w:t xml:space="preserve">                    </w:t>
      </w:r>
      <w:r>
        <w:rPr>
          <w:rFonts w:hint="eastAsia" w:ascii="微软雅黑" w:hAnsi="微软雅黑" w:cs="微软雅黑"/>
          <w:bCs/>
          <w:color w:val="auto"/>
          <w:szCs w:val="22"/>
          <w:highlight w:val="none"/>
          <w:u w:val="none"/>
          <w:lang w:val="en-US" w:eastAsia="zh-CN"/>
        </w:rPr>
        <w:t>，为授权委托人。</w:t>
      </w:r>
      <w:r>
        <w:rPr>
          <w:rFonts w:hint="eastAsia" w:ascii="微软雅黑" w:hAnsi="微软雅黑" w:cs="微软雅黑"/>
          <w:bCs/>
          <w:color w:val="auto"/>
          <w:szCs w:val="22"/>
          <w:highlight w:val="none"/>
        </w:rPr>
        <w:t>以我方的名义参加</w:t>
      </w:r>
      <w:r>
        <w:rPr>
          <w:rFonts w:hint="eastAsia" w:ascii="Times New Roman" w:eastAsia="宋体"/>
          <w:color w:val="auto"/>
          <w:szCs w:val="22"/>
          <w:highlight w:val="none"/>
          <w:lang w:val="en-US" w:eastAsia="zh-CN"/>
        </w:rPr>
        <w:t>编号：</w:t>
      </w:r>
      <w:r>
        <w:rPr>
          <w:rFonts w:hint="eastAsia" w:ascii="Times New Roman" w:eastAsia="宋体"/>
          <w:color w:val="auto"/>
          <w:szCs w:val="22"/>
          <w:highlight w:val="none"/>
          <w:u w:val="single"/>
          <w:lang w:val="en-US" w:eastAsia="zh-CN"/>
        </w:rPr>
        <w:t xml:space="preserve">           </w:t>
      </w:r>
      <w:r>
        <w:rPr>
          <w:rFonts w:hint="eastAsia" w:ascii="Times New Roman" w:eastAsia="宋体"/>
          <w:color w:val="auto"/>
          <w:szCs w:val="22"/>
          <w:highlight w:val="none"/>
          <w:lang w:val="en-US" w:eastAsia="zh-CN"/>
        </w:rPr>
        <w:t>，名称：</w:t>
      </w:r>
      <w:r>
        <w:rPr>
          <w:rFonts w:hint="eastAsia" w:ascii="Times New Roman" w:eastAsia="宋体"/>
          <w:color w:val="auto"/>
          <w:szCs w:val="22"/>
          <w:highlight w:val="none"/>
          <w:u w:val="single"/>
          <w:lang w:val="en-US" w:eastAsia="zh-CN"/>
        </w:rPr>
        <w:t xml:space="preserve">                  </w:t>
      </w:r>
      <w:r>
        <w:rPr>
          <w:rFonts w:hint="eastAsia" w:ascii="Times New Roman" w:eastAsia="宋体"/>
          <w:color w:val="auto"/>
          <w:szCs w:val="22"/>
          <w:highlight w:val="none"/>
          <w:lang w:val="en-US" w:eastAsia="zh-CN"/>
        </w:rPr>
        <w:t>，</w:t>
      </w:r>
      <w:r>
        <w:rPr>
          <w:rFonts w:hint="eastAsia" w:ascii="微软雅黑" w:hAnsi="微软雅黑" w:cs="微软雅黑"/>
          <w:bCs/>
          <w:color w:val="auto"/>
          <w:szCs w:val="22"/>
          <w:highlight w:val="none"/>
        </w:rPr>
        <w:t>的投标活动</w:t>
      </w:r>
      <w:r>
        <w:rPr>
          <w:rFonts w:hint="eastAsia"/>
          <w:color w:val="auto"/>
          <w:szCs w:val="22"/>
          <w:highlight w:val="none"/>
        </w:rPr>
        <w:t>，并进行投标。为此：</w:t>
      </w:r>
    </w:p>
    <w:p w14:paraId="5BD952F7">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1</w:t>
      </w:r>
      <w:r>
        <w:rPr>
          <w:rFonts w:hint="eastAsia"/>
          <w:color w:val="auto"/>
          <w:szCs w:val="22"/>
          <w:highlight w:val="none"/>
          <w:lang w:val="en-US" w:eastAsia="zh-CN"/>
        </w:rPr>
        <w:t>.</w:t>
      </w:r>
      <w:r>
        <w:rPr>
          <w:rFonts w:hint="eastAsia"/>
          <w:color w:val="auto"/>
          <w:szCs w:val="22"/>
          <w:highlight w:val="none"/>
        </w:rPr>
        <w:t>总投标价格详见开标一览表。</w:t>
      </w:r>
    </w:p>
    <w:p w14:paraId="4A030D08">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2</w:t>
      </w:r>
      <w:r>
        <w:rPr>
          <w:rFonts w:hint="eastAsia"/>
          <w:color w:val="auto"/>
          <w:szCs w:val="22"/>
          <w:highlight w:val="none"/>
          <w:lang w:val="en-US" w:eastAsia="zh-CN"/>
        </w:rPr>
        <w:t>.</w:t>
      </w:r>
      <w:r>
        <w:rPr>
          <w:rFonts w:hint="eastAsia"/>
          <w:color w:val="auto"/>
          <w:szCs w:val="22"/>
          <w:highlight w:val="none"/>
        </w:rPr>
        <w:t>我单位保证遵守招标文件中的有关规定，并保证忠实地执行甲乙双方所签的经济合同，并承担合同规定的责任义务。</w:t>
      </w:r>
    </w:p>
    <w:p w14:paraId="0B870580">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3</w:t>
      </w:r>
      <w:r>
        <w:rPr>
          <w:rFonts w:hint="eastAsia"/>
          <w:color w:val="auto"/>
          <w:szCs w:val="22"/>
          <w:highlight w:val="none"/>
          <w:lang w:val="en-US" w:eastAsia="zh-CN"/>
        </w:rPr>
        <w:t>.</w:t>
      </w:r>
      <w:r>
        <w:rPr>
          <w:rFonts w:hint="eastAsia"/>
          <w:color w:val="auto"/>
          <w:szCs w:val="22"/>
          <w:highlight w:val="none"/>
        </w:rPr>
        <w:t>我单位同意按采购人要求提供任何与本项投标有关的数据、情况和资料。</w:t>
      </w:r>
    </w:p>
    <w:p w14:paraId="6232A9D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color w:val="auto"/>
          <w:szCs w:val="22"/>
          <w:highlight w:val="none"/>
          <w:lang w:eastAsia="zh-CN"/>
        </w:rPr>
      </w:pPr>
      <w:r>
        <w:rPr>
          <w:rFonts w:hint="eastAsia"/>
          <w:color w:val="auto"/>
          <w:szCs w:val="22"/>
          <w:highlight w:val="none"/>
        </w:rPr>
        <w:t>4</w:t>
      </w:r>
      <w:r>
        <w:rPr>
          <w:rFonts w:hint="eastAsia"/>
          <w:color w:val="auto"/>
          <w:szCs w:val="22"/>
          <w:highlight w:val="none"/>
          <w:lang w:val="en-US" w:eastAsia="zh-CN"/>
        </w:rPr>
        <w:t>.</w:t>
      </w:r>
      <w:r>
        <w:rPr>
          <w:rFonts w:hint="eastAsia"/>
          <w:color w:val="auto"/>
          <w:szCs w:val="22"/>
          <w:highlight w:val="none"/>
        </w:rPr>
        <w:t>我单位保证按本项目招标文件中规定的条款参与投标活动，并为自身的行为承担</w:t>
      </w:r>
      <w:r>
        <w:rPr>
          <w:rFonts w:hint="eastAsia"/>
          <w:color w:val="auto"/>
          <w:szCs w:val="22"/>
          <w:highlight w:val="none"/>
          <w:lang w:eastAsia="zh-CN"/>
        </w:rPr>
        <w:t>。</w:t>
      </w:r>
    </w:p>
    <w:p w14:paraId="36296F08">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相应的责任。我单位出现违反国家法律法规和本项目招标文件规定的行为，愿意接受相应的处罚并承担由此引起的赔偿责任。</w:t>
      </w:r>
    </w:p>
    <w:p w14:paraId="79DD579E">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5</w:t>
      </w:r>
      <w:r>
        <w:rPr>
          <w:rFonts w:hint="eastAsia"/>
          <w:color w:val="auto"/>
          <w:szCs w:val="22"/>
          <w:highlight w:val="none"/>
          <w:lang w:val="en-US" w:eastAsia="zh-CN"/>
        </w:rPr>
        <w:t>.</w:t>
      </w:r>
      <w:r>
        <w:rPr>
          <w:rFonts w:hint="eastAsia"/>
          <w:color w:val="auto"/>
          <w:szCs w:val="22"/>
          <w:highlight w:val="none"/>
        </w:rPr>
        <w:t>本投标自开标之日起</w:t>
      </w:r>
      <w:r>
        <w:rPr>
          <w:rFonts w:hint="eastAsia"/>
          <w:color w:val="auto"/>
          <w:szCs w:val="22"/>
          <w:highlight w:val="none"/>
          <w:lang w:val="en-US" w:eastAsia="zh-CN"/>
        </w:rPr>
        <w:t>60</w:t>
      </w:r>
      <w:r>
        <w:rPr>
          <w:rFonts w:hint="eastAsia"/>
          <w:color w:val="auto"/>
          <w:szCs w:val="22"/>
          <w:highlight w:val="none"/>
        </w:rPr>
        <w:t>日内有效。</w:t>
      </w:r>
    </w:p>
    <w:p w14:paraId="5D8F9BD4">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rFonts w:hint="eastAsia"/>
          <w:color w:val="auto"/>
          <w:szCs w:val="22"/>
          <w:highlight w:val="none"/>
        </w:rPr>
        <w:t>6</w:t>
      </w:r>
      <w:r>
        <w:rPr>
          <w:rFonts w:hint="eastAsia"/>
          <w:color w:val="auto"/>
          <w:szCs w:val="22"/>
          <w:highlight w:val="none"/>
          <w:lang w:val="en-US" w:eastAsia="zh-CN"/>
        </w:rPr>
        <w:t>.</w:t>
      </w:r>
      <w:r>
        <w:rPr>
          <w:rFonts w:hint="eastAsia"/>
          <w:color w:val="auto"/>
          <w:szCs w:val="22"/>
          <w:highlight w:val="none"/>
        </w:rPr>
        <w:t>我单位已经详细审查全部招标文件，包括修改文件（如有的话）以及全部参考资料和有关附件，我们完全理解并同意放弃对这方面有不明及误解的权力。</w:t>
      </w:r>
    </w:p>
    <w:p w14:paraId="50D964A9">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color w:val="auto"/>
          <w:szCs w:val="22"/>
          <w:highlight w:val="none"/>
        </w:rPr>
        <w:t>7</w:t>
      </w:r>
      <w:r>
        <w:rPr>
          <w:rFonts w:hint="eastAsia"/>
          <w:color w:val="auto"/>
          <w:szCs w:val="22"/>
          <w:highlight w:val="none"/>
          <w:lang w:val="en-US" w:eastAsia="zh-CN"/>
        </w:rPr>
        <w:t>.</w:t>
      </w:r>
      <w:r>
        <w:rPr>
          <w:rFonts w:hint="eastAsia"/>
          <w:color w:val="auto"/>
          <w:szCs w:val="22"/>
          <w:highlight w:val="none"/>
        </w:rPr>
        <w:t>在规定的开标时间后（在投标有效期内），如果我们撤回投标，我们按照采购文件约定向利益受损方承担赔偿责任。</w:t>
      </w:r>
    </w:p>
    <w:p w14:paraId="0ADF8B76">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szCs w:val="22"/>
          <w:highlight w:val="none"/>
        </w:rPr>
      </w:pPr>
      <w:r>
        <w:rPr>
          <w:color w:val="auto"/>
          <w:szCs w:val="22"/>
          <w:highlight w:val="none"/>
        </w:rPr>
        <w:t>8</w:t>
      </w:r>
      <w:r>
        <w:rPr>
          <w:rFonts w:hint="eastAsia"/>
          <w:color w:val="auto"/>
          <w:szCs w:val="22"/>
          <w:highlight w:val="none"/>
          <w:lang w:val="en-US" w:eastAsia="zh-CN"/>
        </w:rPr>
        <w:t>.</w:t>
      </w:r>
      <w:r>
        <w:rPr>
          <w:rFonts w:hint="eastAsia"/>
          <w:color w:val="auto"/>
          <w:szCs w:val="22"/>
          <w:highlight w:val="none"/>
        </w:rPr>
        <w:t>我单位完全理解贵方不一定要接受最低价的投标或收到的任何投标</w:t>
      </w:r>
      <w:r>
        <w:rPr>
          <w:color w:val="auto"/>
          <w:szCs w:val="22"/>
          <w:highlight w:val="none"/>
        </w:rPr>
        <w:t>。</w:t>
      </w:r>
    </w:p>
    <w:p w14:paraId="74DFFBCF">
      <w:pPr>
        <w:pStyle w:val="12"/>
        <w:ind w:firstLine="0" w:firstLineChars="0"/>
        <w:rPr>
          <w:color w:val="auto"/>
          <w:highlight w:val="none"/>
        </w:rPr>
      </w:pPr>
    </w:p>
    <w:p w14:paraId="470F4901">
      <w:pPr>
        <w:ind w:firstLine="0" w:firstLineChars="0"/>
        <w:rPr>
          <w:rFonts w:hint="eastAsia" w:eastAsia="宋体"/>
          <w:color w:val="auto"/>
          <w:szCs w:val="22"/>
          <w:highlight w:val="none"/>
          <w:lang w:val="en-US" w:eastAsia="zh-CN"/>
        </w:rPr>
      </w:pPr>
      <w:r>
        <w:rPr>
          <w:rFonts w:hint="eastAsia"/>
          <w:color w:val="auto"/>
          <w:szCs w:val="22"/>
          <w:highlight w:val="none"/>
        </w:rPr>
        <w:t>法定代表人或授权委托人签字：</w:t>
      </w:r>
    </w:p>
    <w:p w14:paraId="448FB18D">
      <w:pPr>
        <w:ind w:firstLine="0" w:firstLineChars="0"/>
        <w:rPr>
          <w:color w:val="auto"/>
          <w:szCs w:val="22"/>
          <w:highlight w:val="none"/>
        </w:rPr>
      </w:pPr>
    </w:p>
    <w:p w14:paraId="71086FCE">
      <w:pPr>
        <w:ind w:firstLine="0" w:firstLineChars="0"/>
        <w:rPr>
          <w:color w:val="auto"/>
          <w:szCs w:val="22"/>
          <w:highlight w:val="none"/>
        </w:rPr>
      </w:pPr>
      <w:r>
        <w:rPr>
          <w:rFonts w:hint="eastAsia"/>
          <w:color w:val="auto"/>
          <w:szCs w:val="22"/>
          <w:highlight w:val="none"/>
          <w:lang w:eastAsia="zh-CN"/>
        </w:rPr>
        <w:t>供应商</w:t>
      </w:r>
      <w:r>
        <w:rPr>
          <w:rFonts w:hint="eastAsia"/>
          <w:color w:val="auto"/>
          <w:szCs w:val="22"/>
          <w:highlight w:val="none"/>
        </w:rPr>
        <w:t>全称公章：</w:t>
      </w:r>
    </w:p>
    <w:p w14:paraId="4531F840">
      <w:pPr>
        <w:ind w:firstLine="360"/>
        <w:rPr>
          <w:color w:val="auto"/>
          <w:sz w:val="18"/>
          <w:szCs w:val="18"/>
          <w:highlight w:val="none"/>
        </w:rPr>
      </w:pPr>
    </w:p>
    <w:p w14:paraId="26EA155C">
      <w:pPr>
        <w:ind w:firstLine="0" w:firstLineChars="0"/>
        <w:rPr>
          <w:color w:val="auto"/>
          <w:szCs w:val="22"/>
          <w:highlight w:val="none"/>
        </w:rPr>
      </w:pPr>
      <w:r>
        <w:rPr>
          <w:rFonts w:hint="eastAsia"/>
          <w:color w:val="auto"/>
          <w:szCs w:val="22"/>
          <w:highlight w:val="none"/>
          <w:lang w:eastAsia="zh-Hans"/>
        </w:rPr>
        <w:t>日期</w:t>
      </w:r>
      <w:r>
        <w:rPr>
          <w:color w:val="auto"/>
          <w:szCs w:val="22"/>
          <w:highlight w:val="none"/>
          <w:lang w:eastAsia="zh-Hans"/>
        </w:rPr>
        <w:t xml:space="preserve">：    </w:t>
      </w:r>
      <w:r>
        <w:rPr>
          <w:rFonts w:hint="eastAsia"/>
          <w:color w:val="auto"/>
          <w:szCs w:val="22"/>
          <w:highlight w:val="none"/>
          <w:lang w:eastAsia="zh-Hans"/>
        </w:rPr>
        <w:t>年</w:t>
      </w:r>
      <w:r>
        <w:rPr>
          <w:color w:val="auto"/>
          <w:szCs w:val="22"/>
          <w:highlight w:val="none"/>
          <w:lang w:eastAsia="zh-Hans"/>
        </w:rPr>
        <w:t xml:space="preserve">  </w:t>
      </w:r>
      <w:r>
        <w:rPr>
          <w:rFonts w:hint="eastAsia"/>
          <w:color w:val="auto"/>
          <w:szCs w:val="22"/>
          <w:highlight w:val="none"/>
          <w:lang w:eastAsia="zh-Hans"/>
        </w:rPr>
        <w:t>月</w:t>
      </w:r>
      <w:r>
        <w:rPr>
          <w:color w:val="auto"/>
          <w:szCs w:val="22"/>
          <w:highlight w:val="none"/>
          <w:lang w:eastAsia="zh-Hans"/>
        </w:rPr>
        <w:t xml:space="preserve">  </w:t>
      </w:r>
      <w:r>
        <w:rPr>
          <w:rFonts w:hint="eastAsia"/>
          <w:color w:val="auto"/>
          <w:szCs w:val="22"/>
          <w:highlight w:val="none"/>
          <w:lang w:eastAsia="zh-Hans"/>
        </w:rPr>
        <w:t>日</w:t>
      </w:r>
    </w:p>
    <w:p w14:paraId="478CBCED">
      <w:pPr>
        <w:spacing w:line="380" w:lineRule="exact"/>
        <w:ind w:firstLine="0" w:firstLineChars="0"/>
        <w:rPr>
          <w:rFonts w:hint="eastAsia" w:ascii="Calibri" w:hAnsi="Calibri" w:eastAsia="宋体"/>
          <w:color w:val="auto"/>
          <w:szCs w:val="22"/>
          <w:highlight w:val="none"/>
          <w:lang w:val="en-US" w:eastAsia="zh-CN"/>
        </w:rPr>
      </w:pPr>
      <w:r>
        <w:rPr>
          <w:rFonts w:ascii="Calibri" w:hAnsi="Calibri" w:eastAsia="方正书宋简体"/>
          <w:color w:val="auto"/>
          <w:szCs w:val="22"/>
          <w:highlight w:val="none"/>
        </w:rPr>
        <w:br w:type="page"/>
      </w:r>
    </w:p>
    <w:p w14:paraId="46514934">
      <w:pPr>
        <w:spacing w:line="380" w:lineRule="exact"/>
        <w:ind w:firstLine="0" w:firstLineChars="0"/>
        <w:jc w:val="center"/>
        <w:outlineLvl w:val="0"/>
        <w:rPr>
          <w:rFonts w:ascii="Calibri" w:hAnsi="Calibri" w:eastAsia="方正书宋简体"/>
          <w:color w:val="auto"/>
          <w:szCs w:val="22"/>
          <w:highlight w:val="none"/>
        </w:rPr>
      </w:pPr>
      <w:r>
        <w:rPr>
          <w:rFonts w:hint="eastAsia" w:eastAsia="仿宋"/>
          <w:b/>
          <w:color w:val="auto"/>
          <w:sz w:val="30"/>
          <w:szCs w:val="22"/>
          <w:highlight w:val="none"/>
        </w:rPr>
        <w:t>报价一览表</w:t>
      </w:r>
    </w:p>
    <w:p w14:paraId="6F11C002">
      <w:pPr>
        <w:spacing w:after="120" w:line="240" w:lineRule="auto"/>
        <w:ind w:left="420" w:leftChars="200" w:firstLine="420"/>
        <w:rPr>
          <w:rFonts w:ascii="Calibri" w:hAnsi="Calibri" w:eastAsia="方正书宋简体"/>
          <w:color w:val="auto"/>
          <w:sz w:val="21"/>
          <w:highlight w:val="none"/>
        </w:rPr>
      </w:pPr>
    </w:p>
    <w:p w14:paraId="414FFA3E">
      <w:pPr>
        <w:ind w:firstLine="0" w:firstLineChars="0"/>
        <w:rPr>
          <w:color w:val="auto"/>
          <w:szCs w:val="22"/>
          <w:highlight w:val="none"/>
        </w:rPr>
      </w:pPr>
      <w:r>
        <w:rPr>
          <w:rFonts w:hint="eastAsia"/>
          <w:color w:val="auto"/>
          <w:szCs w:val="22"/>
          <w:highlight w:val="none"/>
        </w:rPr>
        <w:t>项目名称：</w:t>
      </w:r>
    </w:p>
    <w:p w14:paraId="7F8D847E">
      <w:pPr>
        <w:ind w:firstLine="0" w:firstLineChars="0"/>
        <w:rPr>
          <w:color w:val="auto"/>
          <w:szCs w:val="22"/>
          <w:highlight w:val="none"/>
        </w:rPr>
      </w:pPr>
      <w:r>
        <w:rPr>
          <w:rFonts w:hint="eastAsia"/>
          <w:color w:val="auto"/>
          <w:szCs w:val="22"/>
          <w:highlight w:val="none"/>
        </w:rPr>
        <w:t>项目编号：</w:t>
      </w:r>
    </w:p>
    <w:tbl>
      <w:tblPr>
        <w:tblStyle w:val="20"/>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2"/>
        <w:gridCol w:w="4097"/>
      </w:tblGrid>
      <w:tr w14:paraId="23E7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5082" w:type="dxa"/>
            <w:vAlign w:val="center"/>
          </w:tcPr>
          <w:p w14:paraId="67F0E05F">
            <w:pPr>
              <w:pStyle w:val="8"/>
              <w:keepNext w:val="0"/>
              <w:keepLines w:val="0"/>
              <w:suppressLineNumbers w:val="0"/>
              <w:spacing w:before="0" w:beforeAutospacing="0" w:after="0" w:afterAutospacing="0"/>
              <w:ind w:left="0" w:right="0"/>
              <w:rPr>
                <w:rFonts w:hint="default" w:eastAsia="Times New Roman"/>
                <w:color w:val="auto"/>
                <w:highlight w:val="none"/>
              </w:rPr>
            </w:pPr>
            <w:r>
              <w:rPr>
                <w:rFonts w:hint="eastAsia" w:eastAsia="Times New Roman"/>
                <w:color w:val="auto"/>
                <w:highlight w:val="none"/>
              </w:rPr>
              <w:t>项目名称</w:t>
            </w:r>
          </w:p>
        </w:tc>
        <w:tc>
          <w:tcPr>
            <w:tcW w:w="4097" w:type="dxa"/>
            <w:vAlign w:val="center"/>
          </w:tcPr>
          <w:p w14:paraId="3CE28D4F">
            <w:pPr>
              <w:pStyle w:val="8"/>
              <w:keepNext w:val="0"/>
              <w:keepLines w:val="0"/>
              <w:suppressLineNumbers w:val="0"/>
              <w:spacing w:before="0" w:beforeAutospacing="0" w:after="0" w:afterAutospacing="0"/>
              <w:ind w:left="0" w:right="0"/>
              <w:rPr>
                <w:rFonts w:hint="eastAsia"/>
                <w:color w:val="auto"/>
                <w:highlight w:val="none"/>
              </w:rPr>
            </w:pPr>
            <w:r>
              <w:rPr>
                <w:rFonts w:hint="eastAsia"/>
                <w:color w:val="auto"/>
                <w:highlight w:val="none"/>
                <w:lang w:val="en-US" w:eastAsia="zh-CN"/>
              </w:rPr>
              <w:t>总价</w:t>
            </w:r>
            <w:r>
              <w:rPr>
                <w:rFonts w:hint="eastAsia"/>
                <w:color w:val="auto"/>
                <w:highlight w:val="none"/>
              </w:rPr>
              <w:t>（元）</w:t>
            </w:r>
          </w:p>
        </w:tc>
      </w:tr>
      <w:tr w14:paraId="0693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5082" w:type="dxa"/>
            <w:vAlign w:val="center"/>
          </w:tcPr>
          <w:p w14:paraId="451EFF77">
            <w:pPr>
              <w:pStyle w:val="8"/>
              <w:keepNext w:val="0"/>
              <w:keepLines w:val="0"/>
              <w:suppressLineNumbers w:val="0"/>
              <w:spacing w:before="0" w:beforeAutospacing="0" w:after="0" w:afterAutospacing="0"/>
              <w:ind w:left="0" w:right="0"/>
              <w:rPr>
                <w:rFonts w:hint="default" w:eastAsia="Times New Roman"/>
                <w:color w:val="auto"/>
                <w:highlight w:val="none"/>
              </w:rPr>
            </w:pPr>
          </w:p>
        </w:tc>
        <w:tc>
          <w:tcPr>
            <w:tcW w:w="4097" w:type="dxa"/>
            <w:vAlign w:val="center"/>
          </w:tcPr>
          <w:p w14:paraId="152BCAFD">
            <w:pPr>
              <w:pStyle w:val="26"/>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小写：       </w:t>
            </w:r>
          </w:p>
          <w:p w14:paraId="4F97C9CB">
            <w:pPr>
              <w:pStyle w:val="26"/>
              <w:keepNext w:val="0"/>
              <w:keepLines w:val="0"/>
              <w:suppressLineNumbers w:val="0"/>
              <w:spacing w:before="0" w:beforeAutospacing="0" w:after="0" w:afterAutospacing="0"/>
              <w:ind w:left="0" w:right="0"/>
              <w:rPr>
                <w:rFonts w:hint="eastAsia"/>
                <w:color w:val="auto"/>
                <w:highlight w:val="none"/>
                <w:lang w:val="en-US" w:eastAsia="zh-CN"/>
              </w:rPr>
            </w:pPr>
            <w:r>
              <w:rPr>
                <w:rFonts w:hint="eastAsia"/>
                <w:color w:val="auto"/>
                <w:highlight w:val="none"/>
                <w:lang w:val="en-US" w:eastAsia="zh-CN"/>
              </w:rPr>
              <w:t xml:space="preserve">大写：       </w:t>
            </w:r>
          </w:p>
        </w:tc>
      </w:tr>
    </w:tbl>
    <w:p w14:paraId="495D3BF1">
      <w:pPr>
        <w:spacing w:after="120" w:line="240" w:lineRule="auto"/>
        <w:ind w:firstLine="0" w:firstLineChars="0"/>
        <w:rPr>
          <w:rFonts w:ascii="Calibri" w:hAnsi="Calibri" w:eastAsia="方正书宋简体"/>
          <w:color w:val="auto"/>
          <w:sz w:val="21"/>
          <w:highlight w:val="none"/>
        </w:rPr>
      </w:pPr>
    </w:p>
    <w:p w14:paraId="7345DCE6">
      <w:pPr>
        <w:pStyle w:val="8"/>
        <w:numPr>
          <w:ilvl w:val="0"/>
          <w:numId w:val="0"/>
        </w:numPr>
        <w:ind w:firstLine="0" w:firstLineChars="0"/>
        <w:jc w:val="left"/>
        <w:rPr>
          <w:rFonts w:hint="eastAsia" w:ascii="Times New Roman" w:hAnsi="Times New Roman" w:eastAsia="宋体" w:cs="Times New Roman"/>
          <w:b w:val="0"/>
          <w:color w:val="auto"/>
          <w:kern w:val="2"/>
          <w:sz w:val="21"/>
          <w:szCs w:val="22"/>
          <w:highlight w:val="none"/>
          <w:lang w:val="en-US" w:eastAsia="zh-CN" w:bidi="ar-SA"/>
        </w:rPr>
      </w:pPr>
      <w:r>
        <w:rPr>
          <w:rFonts w:hint="eastAsia" w:ascii="Times New Roman" w:hAnsi="Times New Roman" w:eastAsia="宋体" w:cs="Times New Roman"/>
          <w:b w:val="0"/>
          <w:color w:val="auto"/>
          <w:kern w:val="2"/>
          <w:sz w:val="21"/>
          <w:szCs w:val="22"/>
          <w:highlight w:val="none"/>
          <w:lang w:val="en-US" w:eastAsia="zh-CN" w:bidi="ar-SA"/>
        </w:rPr>
        <w:t>1.报价一览表中的报价为完成本项目的所有费用。</w:t>
      </w:r>
    </w:p>
    <w:p w14:paraId="18B5A5AE">
      <w:pPr>
        <w:pStyle w:val="8"/>
        <w:numPr>
          <w:ilvl w:val="0"/>
          <w:numId w:val="0"/>
        </w:numPr>
        <w:ind w:firstLine="0" w:firstLineChars="0"/>
        <w:jc w:val="left"/>
        <w:rPr>
          <w:rFonts w:hint="eastAsia" w:ascii="Times New Roman" w:hAnsi="Times New Roman" w:eastAsia="宋体" w:cs="Times New Roman"/>
          <w:b w:val="0"/>
          <w:color w:val="auto"/>
          <w:kern w:val="2"/>
          <w:sz w:val="21"/>
          <w:szCs w:val="22"/>
          <w:highlight w:val="none"/>
          <w:lang w:val="en-US" w:eastAsia="zh-CN" w:bidi="ar-SA"/>
        </w:rPr>
      </w:pPr>
      <w:r>
        <w:rPr>
          <w:rFonts w:hint="eastAsia" w:ascii="Times New Roman" w:hAnsi="Times New Roman" w:eastAsia="宋体" w:cs="Times New Roman"/>
          <w:b w:val="0"/>
          <w:color w:val="auto"/>
          <w:kern w:val="2"/>
          <w:sz w:val="21"/>
          <w:szCs w:val="22"/>
          <w:highlight w:val="none"/>
          <w:lang w:val="en-US" w:eastAsia="zh-CN" w:bidi="ar-SA"/>
        </w:rPr>
        <w:t>2.报价大写与小写不一致的，以大写为准。</w:t>
      </w:r>
    </w:p>
    <w:p w14:paraId="22127B0C">
      <w:pPr>
        <w:pStyle w:val="8"/>
        <w:numPr>
          <w:ilvl w:val="0"/>
          <w:numId w:val="0"/>
        </w:numPr>
        <w:ind w:firstLine="0" w:firstLineChars="0"/>
        <w:jc w:val="left"/>
        <w:rPr>
          <w:rFonts w:hint="eastAsia" w:ascii="Times New Roman" w:hAnsi="Times New Roman" w:eastAsia="宋体" w:cs="Times New Roman"/>
          <w:b w:val="0"/>
          <w:color w:val="auto"/>
          <w:kern w:val="2"/>
          <w:sz w:val="21"/>
          <w:szCs w:val="22"/>
          <w:highlight w:val="none"/>
          <w:lang w:val="en-US" w:eastAsia="zh-CN" w:bidi="ar-SA"/>
        </w:rPr>
      </w:pPr>
      <w:r>
        <w:rPr>
          <w:rFonts w:hint="eastAsia" w:ascii="Times New Roman" w:hAnsi="Times New Roman" w:eastAsia="宋体" w:cs="Times New Roman"/>
          <w:b w:val="0"/>
          <w:color w:val="auto"/>
          <w:kern w:val="2"/>
          <w:sz w:val="21"/>
          <w:szCs w:val="22"/>
          <w:highlight w:val="none"/>
          <w:lang w:val="en-US" w:eastAsia="zh-CN" w:bidi="ar-SA"/>
        </w:rPr>
        <w:t>3.报价一经涂改，应在涂改处加盖供应商公章并由法定代表人或授权委托人签字，否则其投标作无效处理。</w:t>
      </w:r>
    </w:p>
    <w:p w14:paraId="5A50CB68">
      <w:pPr>
        <w:pStyle w:val="8"/>
        <w:jc w:val="left"/>
        <w:rPr>
          <w:color w:val="auto"/>
          <w:highlight w:val="none"/>
        </w:rPr>
      </w:pPr>
    </w:p>
    <w:p w14:paraId="713B1DE2">
      <w:pPr>
        <w:ind w:firstLine="0" w:firstLineChars="0"/>
        <w:rPr>
          <w:color w:val="auto"/>
          <w:szCs w:val="22"/>
          <w:highlight w:val="none"/>
        </w:rPr>
      </w:pPr>
      <w:r>
        <w:rPr>
          <w:rFonts w:hint="eastAsia"/>
          <w:color w:val="auto"/>
          <w:szCs w:val="22"/>
          <w:highlight w:val="none"/>
        </w:rPr>
        <w:t>法定代表人或</w:t>
      </w:r>
      <w:r>
        <w:rPr>
          <w:rFonts w:hint="eastAsia"/>
          <w:color w:val="auto"/>
          <w:szCs w:val="22"/>
          <w:highlight w:val="none"/>
          <w:lang w:eastAsia="zh-CN"/>
        </w:rPr>
        <w:t>授权委托人</w:t>
      </w:r>
      <w:r>
        <w:rPr>
          <w:rFonts w:hint="eastAsia"/>
          <w:color w:val="auto"/>
          <w:szCs w:val="22"/>
          <w:highlight w:val="none"/>
        </w:rPr>
        <w:t>签字：</w:t>
      </w:r>
    </w:p>
    <w:p w14:paraId="77596570">
      <w:pPr>
        <w:ind w:firstLine="0" w:firstLineChars="0"/>
        <w:rPr>
          <w:color w:val="auto"/>
          <w:szCs w:val="22"/>
          <w:highlight w:val="none"/>
        </w:rPr>
      </w:pPr>
    </w:p>
    <w:p w14:paraId="4F188F9F">
      <w:pPr>
        <w:ind w:firstLine="0" w:firstLineChars="0"/>
        <w:rPr>
          <w:color w:val="auto"/>
          <w:szCs w:val="22"/>
          <w:highlight w:val="none"/>
        </w:rPr>
      </w:pPr>
      <w:r>
        <w:rPr>
          <w:rFonts w:hint="eastAsia"/>
          <w:color w:val="auto"/>
          <w:szCs w:val="22"/>
          <w:highlight w:val="none"/>
          <w:lang w:eastAsia="zh-CN"/>
        </w:rPr>
        <w:t>供应商</w:t>
      </w:r>
      <w:r>
        <w:rPr>
          <w:rFonts w:hint="eastAsia"/>
          <w:color w:val="auto"/>
          <w:szCs w:val="22"/>
          <w:highlight w:val="none"/>
        </w:rPr>
        <w:t>全称公章：</w:t>
      </w:r>
    </w:p>
    <w:p w14:paraId="3C50D1EF">
      <w:pPr>
        <w:ind w:firstLine="360"/>
        <w:rPr>
          <w:color w:val="auto"/>
          <w:sz w:val="18"/>
          <w:szCs w:val="18"/>
          <w:highlight w:val="none"/>
        </w:rPr>
      </w:pPr>
    </w:p>
    <w:p w14:paraId="64D72237">
      <w:pPr>
        <w:ind w:firstLine="0" w:firstLineChars="0"/>
        <w:rPr>
          <w:rFonts w:hint="default" w:eastAsia="宋体"/>
          <w:color w:val="auto"/>
          <w:highlight w:val="none"/>
          <w:lang w:val="en-US" w:eastAsia="zh-CN"/>
        </w:rPr>
      </w:pPr>
      <w:r>
        <w:rPr>
          <w:rFonts w:hint="eastAsia"/>
          <w:color w:val="auto"/>
          <w:szCs w:val="22"/>
          <w:highlight w:val="none"/>
          <w:lang w:eastAsia="zh-Hans"/>
        </w:rPr>
        <w:t>日期</w:t>
      </w:r>
      <w:r>
        <w:rPr>
          <w:color w:val="auto"/>
          <w:szCs w:val="22"/>
          <w:highlight w:val="none"/>
          <w:lang w:eastAsia="zh-Hans"/>
        </w:rPr>
        <w:t xml:space="preserve">：    </w:t>
      </w:r>
      <w:r>
        <w:rPr>
          <w:rFonts w:hint="eastAsia"/>
          <w:color w:val="auto"/>
          <w:szCs w:val="22"/>
          <w:highlight w:val="none"/>
          <w:lang w:eastAsia="zh-Hans"/>
        </w:rPr>
        <w:t>年</w:t>
      </w:r>
      <w:r>
        <w:rPr>
          <w:color w:val="auto"/>
          <w:szCs w:val="22"/>
          <w:highlight w:val="none"/>
          <w:lang w:eastAsia="zh-Hans"/>
        </w:rPr>
        <w:t xml:space="preserve">  </w:t>
      </w:r>
      <w:r>
        <w:rPr>
          <w:rFonts w:hint="eastAsia"/>
          <w:color w:val="auto"/>
          <w:szCs w:val="22"/>
          <w:highlight w:val="none"/>
          <w:lang w:eastAsia="zh-Hans"/>
        </w:rPr>
        <w:t>月</w:t>
      </w:r>
      <w:r>
        <w:rPr>
          <w:color w:val="auto"/>
          <w:szCs w:val="22"/>
          <w:highlight w:val="none"/>
          <w:lang w:eastAsia="zh-Hans"/>
        </w:rPr>
        <w:t xml:space="preserve">  </w:t>
      </w:r>
      <w:r>
        <w:rPr>
          <w:rFonts w:hint="eastAsia"/>
          <w:color w:val="auto"/>
          <w:szCs w:val="22"/>
          <w:highlight w:val="none"/>
          <w:lang w:eastAsia="zh-Hans"/>
        </w:rPr>
        <w:t>日</w:t>
      </w:r>
    </w:p>
    <w:p w14:paraId="0541DD61">
      <w:pPr>
        <w:spacing w:line="380" w:lineRule="exact"/>
        <w:rPr>
          <w:rFonts w:eastAsia="黑体"/>
          <w:color w:val="auto"/>
          <w:highlight w:val="none"/>
        </w:rPr>
      </w:pPr>
    </w:p>
    <w:sectPr>
      <w:pgSz w:w="11906" w:h="16838"/>
      <w:pgMar w:top="1134" w:right="1531" w:bottom="992" w:left="153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2E81">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7A1081">
                          <w:pPr>
                            <w:pStyle w:val="13"/>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14:paraId="367A1081">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0E1D3">
    <w:pPr>
      <w:pStyle w:val="1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B9423E">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B9423E">
                    <w:pPr>
                      <w:pStyle w:val="13"/>
                    </w:pPr>
                    <w:r>
                      <w:fldChar w:fldCharType="begin"/>
                    </w:r>
                    <w:r>
                      <w:instrText xml:space="preserve"> PAGE  \* MERGEFORMAT </w:instrText>
                    </w:r>
                    <w:r>
                      <w:fldChar w:fldCharType="separate"/>
                    </w:r>
                    <w:r>
                      <w:t>1</w:t>
                    </w:r>
                    <w:r>
                      <w:fldChar w:fldCharType="end"/>
                    </w:r>
                  </w:p>
                </w:txbxContent>
              </v:textbox>
            </v:shape>
          </w:pict>
        </mc:Fallback>
      </mc:AlternateContent>
    </w:r>
    <w:sdt>
      <w:sdtPr>
        <w:id w:val="1159885345"/>
        <w:docPartObj>
          <w:docPartGallery w:val="autotext"/>
        </w:docPartObj>
      </w:sdtPr>
      <w:sdtContent/>
    </w:sdt>
  </w:p>
  <w:p w14:paraId="6F69B891">
    <w:pPr>
      <w:pStyle w:val="1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F5E4C">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A9A84">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02D4F"/>
    <w:multiLevelType w:val="singleLevel"/>
    <w:tmpl w:val="90B02D4F"/>
    <w:lvl w:ilvl="0" w:tentative="0">
      <w:start w:val="7"/>
      <w:numFmt w:val="chineseCounting"/>
      <w:suff w:val="nothing"/>
      <w:lvlText w:val="%1、"/>
      <w:lvlJc w:val="left"/>
      <w:rPr>
        <w:rFonts w:hint="eastAsia"/>
      </w:rPr>
    </w:lvl>
  </w:abstractNum>
  <w:abstractNum w:abstractNumId="1">
    <w:nsid w:val="224D0B44"/>
    <w:multiLevelType w:val="multilevel"/>
    <w:tmpl w:val="224D0B44"/>
    <w:lvl w:ilvl="0" w:tentative="0">
      <w:start w:val="1"/>
      <w:numFmt w:val="upperRoman"/>
      <w:lvlText w:val="%1."/>
      <w:lvlJc w:val="left"/>
      <w:pPr>
        <w:ind w:left="0" w:firstLine="0"/>
      </w:pPr>
    </w:lvl>
    <w:lvl w:ilvl="1" w:tentative="0">
      <w:start w:val="1"/>
      <w:numFmt w:val="upperLetter"/>
      <w:pStyle w:val="4"/>
      <w:lvlText w:val="%2."/>
      <w:lvlJc w:val="left"/>
      <w:pPr>
        <w:ind w:left="851" w:firstLine="0"/>
      </w:pPr>
    </w:lvl>
    <w:lvl w:ilvl="2" w:tentative="0">
      <w:start w:val="1"/>
      <w:numFmt w:val="decimal"/>
      <w:lvlText w:val="%3."/>
      <w:lvlJc w:val="left"/>
      <w:pPr>
        <w:ind w:left="1701" w:firstLine="0"/>
      </w:pPr>
    </w:lvl>
    <w:lvl w:ilvl="3" w:tentative="0">
      <w:start w:val="1"/>
      <w:numFmt w:val="lowerLetter"/>
      <w:lvlText w:val="%4)"/>
      <w:lvlJc w:val="left"/>
      <w:pPr>
        <w:ind w:left="2551" w:firstLine="0"/>
      </w:pPr>
    </w:lvl>
    <w:lvl w:ilvl="4" w:tentative="0">
      <w:start w:val="1"/>
      <w:numFmt w:val="decimal"/>
      <w:lvlText w:val="(%5)"/>
      <w:lvlJc w:val="left"/>
      <w:pPr>
        <w:ind w:left="3402" w:firstLine="0"/>
      </w:pPr>
    </w:lvl>
    <w:lvl w:ilvl="5" w:tentative="0">
      <w:start w:val="1"/>
      <w:numFmt w:val="lowerLetter"/>
      <w:lvlText w:val="(%6)"/>
      <w:lvlJc w:val="left"/>
      <w:pPr>
        <w:ind w:left="4252" w:firstLine="0"/>
      </w:pPr>
    </w:lvl>
    <w:lvl w:ilvl="6" w:tentative="0">
      <w:start w:val="1"/>
      <w:numFmt w:val="lowerRoman"/>
      <w:lvlText w:val="(%7)"/>
      <w:lvlJc w:val="left"/>
      <w:pPr>
        <w:ind w:left="5102" w:firstLine="0"/>
      </w:pPr>
    </w:lvl>
    <w:lvl w:ilvl="7" w:tentative="0">
      <w:start w:val="1"/>
      <w:numFmt w:val="lowerLetter"/>
      <w:lvlText w:val="(%8)"/>
      <w:lvlJc w:val="left"/>
      <w:pPr>
        <w:ind w:left="5953" w:firstLine="0"/>
      </w:pPr>
    </w:lvl>
    <w:lvl w:ilvl="8" w:tentative="0">
      <w:start w:val="1"/>
      <w:numFmt w:val="lowerRoman"/>
      <w:lvlText w:val="(%9)"/>
      <w:lvlJc w:val="left"/>
      <w:pPr>
        <w:ind w:left="6803"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TZmMzBlYjVkMzU2OTRiNmZlNzVlNzFmYTJjMWYifQ=="/>
    <w:docVar w:name="KSO_WPS_MARK_KEY" w:val="beb3a89f-9c6a-4425-9a02-cbc3c4ee10db"/>
  </w:docVars>
  <w:rsids>
    <w:rsidRoot w:val="46190434"/>
    <w:rsid w:val="00016540"/>
    <w:rsid w:val="000471EA"/>
    <w:rsid w:val="000824DC"/>
    <w:rsid w:val="00092067"/>
    <w:rsid w:val="0016586A"/>
    <w:rsid w:val="001663D3"/>
    <w:rsid w:val="001F20A8"/>
    <w:rsid w:val="002B53BE"/>
    <w:rsid w:val="004C2F73"/>
    <w:rsid w:val="006B7A33"/>
    <w:rsid w:val="00816B17"/>
    <w:rsid w:val="00A94D9C"/>
    <w:rsid w:val="00AB235F"/>
    <w:rsid w:val="00AD10E6"/>
    <w:rsid w:val="00B9051F"/>
    <w:rsid w:val="00BE357C"/>
    <w:rsid w:val="00E05B3C"/>
    <w:rsid w:val="00FC6FEC"/>
    <w:rsid w:val="01505F15"/>
    <w:rsid w:val="01692EB9"/>
    <w:rsid w:val="0202673A"/>
    <w:rsid w:val="03B3502D"/>
    <w:rsid w:val="042C4A18"/>
    <w:rsid w:val="04BF1E09"/>
    <w:rsid w:val="04E672BC"/>
    <w:rsid w:val="05C23886"/>
    <w:rsid w:val="05CF47C6"/>
    <w:rsid w:val="06B9073F"/>
    <w:rsid w:val="07D366E3"/>
    <w:rsid w:val="080668FE"/>
    <w:rsid w:val="08251B75"/>
    <w:rsid w:val="08AE2840"/>
    <w:rsid w:val="09287EA3"/>
    <w:rsid w:val="09526CCE"/>
    <w:rsid w:val="09F70AC0"/>
    <w:rsid w:val="0B9B70AD"/>
    <w:rsid w:val="0C0B1662"/>
    <w:rsid w:val="0D9B065E"/>
    <w:rsid w:val="0DB8211D"/>
    <w:rsid w:val="0E917B1F"/>
    <w:rsid w:val="10011404"/>
    <w:rsid w:val="11032FA4"/>
    <w:rsid w:val="114C66F9"/>
    <w:rsid w:val="11F22EEC"/>
    <w:rsid w:val="12894C9F"/>
    <w:rsid w:val="12B1685A"/>
    <w:rsid w:val="13E1587A"/>
    <w:rsid w:val="15C9656A"/>
    <w:rsid w:val="1638114C"/>
    <w:rsid w:val="16490825"/>
    <w:rsid w:val="167A1960"/>
    <w:rsid w:val="168241F9"/>
    <w:rsid w:val="16D2144F"/>
    <w:rsid w:val="16F01CA5"/>
    <w:rsid w:val="173043C7"/>
    <w:rsid w:val="183E16CB"/>
    <w:rsid w:val="1A2148F0"/>
    <w:rsid w:val="1A252E71"/>
    <w:rsid w:val="1A2936AF"/>
    <w:rsid w:val="1AB96F9B"/>
    <w:rsid w:val="1B1C538E"/>
    <w:rsid w:val="1C191237"/>
    <w:rsid w:val="1D976F4E"/>
    <w:rsid w:val="1ED03F5F"/>
    <w:rsid w:val="1F7C07EB"/>
    <w:rsid w:val="20DA6C50"/>
    <w:rsid w:val="20EE7B18"/>
    <w:rsid w:val="22482F0D"/>
    <w:rsid w:val="23850338"/>
    <w:rsid w:val="23871813"/>
    <w:rsid w:val="24481B68"/>
    <w:rsid w:val="245254CF"/>
    <w:rsid w:val="26B75F6B"/>
    <w:rsid w:val="26BF7434"/>
    <w:rsid w:val="26DF78F1"/>
    <w:rsid w:val="27A2736E"/>
    <w:rsid w:val="29086F3D"/>
    <w:rsid w:val="29587CD6"/>
    <w:rsid w:val="2A97058D"/>
    <w:rsid w:val="2AE15CAC"/>
    <w:rsid w:val="2C4915A0"/>
    <w:rsid w:val="2D4D13D7"/>
    <w:rsid w:val="2E24482E"/>
    <w:rsid w:val="2EC4010A"/>
    <w:rsid w:val="2EF92317"/>
    <w:rsid w:val="2F401767"/>
    <w:rsid w:val="31540F86"/>
    <w:rsid w:val="319331E3"/>
    <w:rsid w:val="31E33B7D"/>
    <w:rsid w:val="324A4137"/>
    <w:rsid w:val="32517C93"/>
    <w:rsid w:val="334B460B"/>
    <w:rsid w:val="34163138"/>
    <w:rsid w:val="343F10D3"/>
    <w:rsid w:val="35954B55"/>
    <w:rsid w:val="369B1405"/>
    <w:rsid w:val="36B35568"/>
    <w:rsid w:val="37CB23B8"/>
    <w:rsid w:val="38053EB2"/>
    <w:rsid w:val="39925DB3"/>
    <w:rsid w:val="399B34CA"/>
    <w:rsid w:val="3A0D261A"/>
    <w:rsid w:val="3A66262A"/>
    <w:rsid w:val="3AA905B3"/>
    <w:rsid w:val="3AC9498B"/>
    <w:rsid w:val="3B1844F8"/>
    <w:rsid w:val="3B3D7DB9"/>
    <w:rsid w:val="3BC87005"/>
    <w:rsid w:val="3BF6222E"/>
    <w:rsid w:val="3C53017F"/>
    <w:rsid w:val="3C6C2D04"/>
    <w:rsid w:val="3CA20A32"/>
    <w:rsid w:val="3EC534C3"/>
    <w:rsid w:val="3F543A60"/>
    <w:rsid w:val="40860A30"/>
    <w:rsid w:val="40C61775"/>
    <w:rsid w:val="414470C2"/>
    <w:rsid w:val="41C31622"/>
    <w:rsid w:val="41CC539F"/>
    <w:rsid w:val="425D7EB7"/>
    <w:rsid w:val="42BA069E"/>
    <w:rsid w:val="43FB5D3E"/>
    <w:rsid w:val="44093E52"/>
    <w:rsid w:val="454D5FC1"/>
    <w:rsid w:val="45C8380B"/>
    <w:rsid w:val="46190434"/>
    <w:rsid w:val="466A5434"/>
    <w:rsid w:val="46E30B18"/>
    <w:rsid w:val="46F029AF"/>
    <w:rsid w:val="47785417"/>
    <w:rsid w:val="483534DE"/>
    <w:rsid w:val="48A40C64"/>
    <w:rsid w:val="48DB43CF"/>
    <w:rsid w:val="48E672AE"/>
    <w:rsid w:val="490B241B"/>
    <w:rsid w:val="4A2E20A8"/>
    <w:rsid w:val="4A311860"/>
    <w:rsid w:val="4A586755"/>
    <w:rsid w:val="4AEB506E"/>
    <w:rsid w:val="4CE544FB"/>
    <w:rsid w:val="4D0508EA"/>
    <w:rsid w:val="4D1D44CA"/>
    <w:rsid w:val="4DB20CDD"/>
    <w:rsid w:val="4E9407BC"/>
    <w:rsid w:val="4FB72630"/>
    <w:rsid w:val="504A3779"/>
    <w:rsid w:val="51E30482"/>
    <w:rsid w:val="520774F7"/>
    <w:rsid w:val="55942FC0"/>
    <w:rsid w:val="566E7A93"/>
    <w:rsid w:val="569177D9"/>
    <w:rsid w:val="578A6C00"/>
    <w:rsid w:val="589F492D"/>
    <w:rsid w:val="58ED5699"/>
    <w:rsid w:val="59E84C04"/>
    <w:rsid w:val="5AFA409D"/>
    <w:rsid w:val="5BC30933"/>
    <w:rsid w:val="5C6BBB83"/>
    <w:rsid w:val="5CDD33AE"/>
    <w:rsid w:val="5DBD6E2E"/>
    <w:rsid w:val="5E6A59DD"/>
    <w:rsid w:val="5E8A398A"/>
    <w:rsid w:val="5EF3074C"/>
    <w:rsid w:val="5F1514A5"/>
    <w:rsid w:val="60056808"/>
    <w:rsid w:val="606A3A73"/>
    <w:rsid w:val="608C29D5"/>
    <w:rsid w:val="609D5132"/>
    <w:rsid w:val="60AE4E9D"/>
    <w:rsid w:val="612614C1"/>
    <w:rsid w:val="61736995"/>
    <w:rsid w:val="62E55633"/>
    <w:rsid w:val="637802B1"/>
    <w:rsid w:val="63E56738"/>
    <w:rsid w:val="64EE4C72"/>
    <w:rsid w:val="6558033E"/>
    <w:rsid w:val="65A11CE5"/>
    <w:rsid w:val="66275BC1"/>
    <w:rsid w:val="66304E17"/>
    <w:rsid w:val="669B6734"/>
    <w:rsid w:val="675F3C06"/>
    <w:rsid w:val="67D5211A"/>
    <w:rsid w:val="67F72090"/>
    <w:rsid w:val="67FB384B"/>
    <w:rsid w:val="695F65F5"/>
    <w:rsid w:val="6D5E670D"/>
    <w:rsid w:val="6DB21228"/>
    <w:rsid w:val="6DDD3AD6"/>
    <w:rsid w:val="6F094457"/>
    <w:rsid w:val="70EF5A29"/>
    <w:rsid w:val="710B44B6"/>
    <w:rsid w:val="72071122"/>
    <w:rsid w:val="7298763E"/>
    <w:rsid w:val="730172AC"/>
    <w:rsid w:val="736B1827"/>
    <w:rsid w:val="73E060CE"/>
    <w:rsid w:val="752F573F"/>
    <w:rsid w:val="763D7808"/>
    <w:rsid w:val="764346F2"/>
    <w:rsid w:val="76E56D55"/>
    <w:rsid w:val="771F2A69"/>
    <w:rsid w:val="794049E4"/>
    <w:rsid w:val="7A684727"/>
    <w:rsid w:val="7ACE36B1"/>
    <w:rsid w:val="7AE055DE"/>
    <w:rsid w:val="7B137AB9"/>
    <w:rsid w:val="7BBA1AA7"/>
    <w:rsid w:val="7C8415C1"/>
    <w:rsid w:val="7DB12889"/>
    <w:rsid w:val="7DCC76C3"/>
    <w:rsid w:val="7DE074C4"/>
    <w:rsid w:val="7DFA17E2"/>
    <w:rsid w:val="7ED128C5"/>
    <w:rsid w:val="7FD7BFDD"/>
    <w:rsid w:val="7FEA59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pPr>
    <w:rPr>
      <w:rFonts w:ascii="长城仿宋" w:hAnsi="黑体" w:eastAsia="长城仿宋" w:cs="黑体"/>
    </w:rPr>
  </w:style>
  <w:style w:type="paragraph" w:styleId="4">
    <w:name w:val="heading 2"/>
    <w:basedOn w:val="1"/>
    <w:next w:val="1"/>
    <w:unhideWhenUsed/>
    <w:qFormat/>
    <w:uiPriority w:val="0"/>
    <w:pPr>
      <w:keepNext/>
      <w:keepLines/>
      <w:numPr>
        <w:ilvl w:val="1"/>
        <w:numId w:val="1"/>
      </w:numPr>
      <w:spacing w:before="260" w:after="260" w:line="416" w:lineRule="auto"/>
      <w:outlineLvl w:val="1"/>
    </w:pPr>
    <w:rPr>
      <w:rFonts w:asciiTheme="majorHAnsi" w:hAnsiTheme="majorHAnsi" w:eastAsiaTheme="majorEastAsia" w:cstheme="majorBidi"/>
      <w:b/>
      <w:bCs/>
      <w:sz w:val="28"/>
      <w:szCs w:val="32"/>
    </w:rPr>
  </w:style>
  <w:style w:type="paragraph" w:styleId="5">
    <w:name w:val="heading 3"/>
    <w:basedOn w:val="1"/>
    <w:next w:val="1"/>
    <w:qFormat/>
    <w:uiPriority w:val="0"/>
    <w:pPr>
      <w:keepNext/>
      <w:keepLines/>
      <w:spacing w:line="360" w:lineRule="auto"/>
      <w:outlineLvl w:val="2"/>
    </w:pPr>
    <w:rPr>
      <w:b/>
      <w:sz w:val="24"/>
    </w:rPr>
  </w:style>
  <w:style w:type="paragraph" w:styleId="2">
    <w:name w:val="heading 4"/>
    <w:basedOn w:val="1"/>
    <w:next w:val="1"/>
    <w:qFormat/>
    <w:uiPriority w:val="0"/>
    <w:pPr>
      <w:pBdr>
        <w:bottom w:val="single" w:color="B8CCE4" w:sz="4" w:space="2"/>
      </w:pBdr>
      <w:spacing w:before="200" w:beforeLines="0" w:after="80" w:afterLines="0"/>
      <w:outlineLvl w:val="3"/>
    </w:pPr>
    <w:rPr>
      <w:rFonts w:ascii="Cambria" w:hAnsi="Cambria" w:cs="宋体"/>
      <w:i/>
      <w:iCs/>
      <w:color w:val="4F81BD"/>
      <w:sz w:val="24"/>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toa heading"/>
    <w:basedOn w:val="1"/>
    <w:next w:val="1"/>
    <w:unhideWhenUsed/>
    <w:qFormat/>
    <w:uiPriority w:val="99"/>
    <w:pPr>
      <w:spacing w:before="120"/>
    </w:pPr>
    <w:rPr>
      <w:rFonts w:ascii="Arial" w:hAnsi="Arial" w:cs="Arial"/>
    </w:rPr>
  </w:style>
  <w:style w:type="paragraph" w:styleId="8">
    <w:name w:val="Body Text"/>
    <w:basedOn w:val="1"/>
    <w:next w:val="1"/>
    <w:qFormat/>
    <w:uiPriority w:val="0"/>
    <w:rPr>
      <w:rFonts w:eastAsia="黑体"/>
      <w:b/>
      <w:kern w:val="0"/>
      <w:sz w:val="24"/>
      <w:szCs w:val="20"/>
    </w:rPr>
  </w:style>
  <w:style w:type="paragraph" w:styleId="9">
    <w:name w:val="Body Text Indent"/>
    <w:basedOn w:val="1"/>
    <w:qFormat/>
    <w:uiPriority w:val="0"/>
    <w:pPr>
      <w:spacing w:line="200" w:lineRule="exact"/>
      <w:ind w:firstLine="301"/>
    </w:pPr>
    <w:rPr>
      <w:rFonts w:ascii="宋体" w:hAnsi="Courier New"/>
      <w:spacing w:val="-4"/>
      <w:sz w:val="18"/>
    </w:rPr>
  </w:style>
  <w:style w:type="paragraph" w:styleId="10">
    <w:name w:val="Plain Text"/>
    <w:basedOn w:val="1"/>
    <w:qFormat/>
    <w:uiPriority w:val="0"/>
    <w:rPr>
      <w:rFonts w:hint="eastAsia" w:ascii="宋体" w:hAnsi="Courier New"/>
      <w:szCs w:val="21"/>
    </w:rPr>
  </w:style>
  <w:style w:type="paragraph" w:styleId="11">
    <w:name w:val="Body Text Indent 2"/>
    <w:qFormat/>
    <w:uiPriority w:val="0"/>
    <w:pPr>
      <w:widowControl w:val="0"/>
      <w:spacing w:line="320" w:lineRule="atLeast"/>
      <w:ind w:firstLine="600" w:firstLineChars="250"/>
      <w:jc w:val="both"/>
    </w:pPr>
    <w:rPr>
      <w:rFonts w:ascii="宋体" w:hAnsi="宋体" w:eastAsia="宋体" w:cs="宋体"/>
      <w:kern w:val="2"/>
      <w:sz w:val="24"/>
      <w:szCs w:val="24"/>
      <w:lang w:val="en-US" w:eastAsia="zh-CN" w:bidi="ar-SA"/>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qFormat/>
    <w:uiPriority w:val="0"/>
    <w:pPr>
      <w:spacing w:after="120"/>
      <w:ind w:left="420" w:leftChars="200"/>
    </w:pPr>
    <w:rPr>
      <w:sz w:val="16"/>
      <w:szCs w:val="16"/>
    </w:rPr>
  </w:style>
  <w:style w:type="paragraph" w:styleId="16">
    <w:name w:val="Normal (Web)"/>
    <w:basedOn w:val="1"/>
    <w:qFormat/>
    <w:uiPriority w:val="0"/>
    <w:rPr>
      <w:sz w:val="24"/>
    </w:rPr>
  </w:style>
  <w:style w:type="paragraph" w:styleId="17">
    <w:name w:val="Title"/>
    <w:basedOn w:val="1"/>
    <w:next w:val="1"/>
    <w:qFormat/>
    <w:uiPriority w:val="10"/>
    <w:pPr>
      <w:spacing w:before="240" w:after="60"/>
      <w:jc w:val="center"/>
      <w:outlineLvl w:val="0"/>
    </w:pPr>
    <w:rPr>
      <w:rFonts w:ascii="Calibri Light" w:hAnsi="Calibri Light"/>
      <w:b/>
      <w:bCs/>
      <w:sz w:val="44"/>
      <w:szCs w:val="32"/>
    </w:rPr>
  </w:style>
  <w:style w:type="paragraph" w:styleId="18">
    <w:name w:val="Body Text First Indent"/>
    <w:basedOn w:val="8"/>
    <w:next w:val="1"/>
    <w:qFormat/>
    <w:uiPriority w:val="0"/>
    <w:pPr>
      <w:ind w:firstLine="420" w:firstLineChars="100"/>
    </w:pPr>
    <w:rPr>
      <w:rFonts w:ascii="Calibri" w:hAnsi="Calibri"/>
      <w:color w:val="FF0000"/>
      <w:szCs w:val="22"/>
    </w:rPr>
  </w:style>
  <w:style w:type="paragraph" w:styleId="19">
    <w:name w:val="Body Text First Indent 2"/>
    <w:basedOn w:val="9"/>
    <w:next w:val="18"/>
    <w:qFormat/>
    <w:uiPriority w:val="0"/>
    <w:pPr>
      <w:spacing w:after="120"/>
      <w:ind w:left="420" w:leftChars="200" w:firstLine="420" w:firstLineChars="200"/>
    </w:pPr>
    <w:rPr>
      <w:sz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semiHidden/>
    <w:unhideWhenUsed/>
    <w:qFormat/>
    <w:uiPriority w:val="99"/>
  </w:style>
  <w:style w:type="paragraph" w:styleId="25">
    <w:name w:val="List Paragraph"/>
    <w:basedOn w:val="1"/>
    <w:qFormat/>
    <w:uiPriority w:val="34"/>
    <w:pPr>
      <w:ind w:firstLine="420"/>
    </w:pPr>
  </w:style>
  <w:style w:type="paragraph" w:customStyle="1" w:styleId="26">
    <w:name w:val="Default"/>
    <w:next w:val="27"/>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7">
    <w:name w:val="目录 71"/>
    <w:next w:val="1"/>
    <w:qFormat/>
    <w:uiPriority w:val="0"/>
    <w:pPr>
      <w:wordWrap w:val="0"/>
      <w:ind w:left="2550"/>
      <w:jc w:val="both"/>
    </w:pPr>
    <w:rPr>
      <w:rFonts w:ascii="Calibri"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Home</Company>
  <Pages>25</Pages>
  <Words>10935</Words>
  <Characters>11412</Characters>
  <Lines>79</Lines>
  <Paragraphs>22</Paragraphs>
  <TotalTime>12</TotalTime>
  <ScaleCrop>false</ScaleCrop>
  <LinksUpToDate>false</LinksUpToDate>
  <CharactersWithSpaces>12054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2023-03-09T15:33:00Z</dcterms:created>
  <dc:creator>chameleon</dc:creator>
  <cp:lastModifiedBy>    chameleon</cp:lastModifiedBy>
  <cp:lastPrinted>2023-10-07T22:09:00Z</cp:lastPrinted>
  <dcterms:modified xsi:type="dcterms:W3CDTF">2024-11-04T05:50:46Z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05BC5E8739824F10CAC11967649FD9E2_43</vt:lpwstr>
  </property>
</Properties>
</file>